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33C38" w:rsidR="001F3032" w:rsidRPr="00C37A8F" w:rsidRDefault="006759D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63A65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E86BB2" w:rsidRPr="00E86BB2">
        <w:rPr>
          <w:rFonts w:ascii="Arial" w:hAnsi="Arial" w:cs="Arial"/>
          <w:b/>
          <w:sz w:val="20"/>
          <w:szCs w:val="22"/>
        </w:rPr>
        <w:t>zabudowan</w:t>
      </w:r>
      <w:r w:rsidR="00E86BB2">
        <w:rPr>
          <w:rFonts w:ascii="Arial" w:hAnsi="Arial" w:cs="Arial"/>
          <w:b/>
          <w:sz w:val="20"/>
          <w:szCs w:val="22"/>
        </w:rPr>
        <w:t>a</w:t>
      </w:r>
      <w:r w:rsidR="00E86BB2" w:rsidRPr="00E86BB2">
        <w:rPr>
          <w:rFonts w:ascii="Arial" w:hAnsi="Arial" w:cs="Arial"/>
          <w:b/>
          <w:sz w:val="20"/>
          <w:szCs w:val="22"/>
        </w:rPr>
        <w:t xml:space="preserve"> nieruchomoś</w:t>
      </w:r>
      <w:r w:rsidR="00E86BB2">
        <w:rPr>
          <w:rFonts w:ascii="Arial" w:hAnsi="Arial" w:cs="Arial"/>
          <w:b/>
          <w:sz w:val="20"/>
          <w:szCs w:val="22"/>
        </w:rPr>
        <w:t xml:space="preserve">ć </w:t>
      </w:r>
      <w:r w:rsidR="00E86BB2" w:rsidRPr="00E86BB2">
        <w:rPr>
          <w:rFonts w:ascii="Arial" w:hAnsi="Arial" w:cs="Arial"/>
          <w:b/>
          <w:sz w:val="20"/>
          <w:szCs w:val="22"/>
        </w:rPr>
        <w:t>gruntow</w:t>
      </w:r>
      <w:r w:rsidR="00E86BB2">
        <w:rPr>
          <w:rFonts w:ascii="Arial" w:hAnsi="Arial" w:cs="Arial"/>
          <w:b/>
          <w:sz w:val="20"/>
          <w:szCs w:val="22"/>
        </w:rPr>
        <w:t>a</w:t>
      </w:r>
      <w:r w:rsidR="00E86BB2" w:rsidRPr="00E86BB2">
        <w:rPr>
          <w:rFonts w:ascii="Arial" w:hAnsi="Arial" w:cs="Arial"/>
          <w:b/>
          <w:sz w:val="20"/>
          <w:szCs w:val="22"/>
        </w:rPr>
        <w:t>, oznaczon</w:t>
      </w:r>
      <w:r w:rsidR="00E86BB2">
        <w:rPr>
          <w:rFonts w:ascii="Arial" w:hAnsi="Arial" w:cs="Arial"/>
          <w:b/>
          <w:sz w:val="20"/>
          <w:szCs w:val="22"/>
        </w:rPr>
        <w:t>a</w:t>
      </w:r>
      <w:r w:rsidR="00E86BB2" w:rsidRPr="00E86BB2">
        <w:rPr>
          <w:rFonts w:ascii="Arial" w:hAnsi="Arial" w:cs="Arial"/>
          <w:b/>
          <w:sz w:val="20"/>
          <w:szCs w:val="22"/>
        </w:rPr>
        <w:t xml:space="preserve"> numerem ewidencyjnym 2379/9, o powierzchni 0,1038 ha, położon</w:t>
      </w:r>
      <w:r w:rsidR="00E86BB2">
        <w:rPr>
          <w:rFonts w:ascii="Arial" w:hAnsi="Arial" w:cs="Arial"/>
          <w:b/>
          <w:sz w:val="20"/>
          <w:szCs w:val="22"/>
        </w:rPr>
        <w:t>a</w:t>
      </w:r>
      <w:r w:rsidR="00E86BB2" w:rsidRPr="00E86BB2">
        <w:rPr>
          <w:rFonts w:ascii="Arial" w:hAnsi="Arial" w:cs="Arial"/>
          <w:b/>
          <w:sz w:val="20"/>
          <w:szCs w:val="22"/>
        </w:rPr>
        <w:t xml:space="preserve"> przy ul. Reymonta w Żaganiu, dla której prowadzona jest księga wieczysta ZG1G/00020274/5.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45D4C8DA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86BB2">
        <w:rPr>
          <w:rFonts w:ascii="Arial" w:hAnsi="Arial"/>
          <w:b/>
          <w:sz w:val="18"/>
          <w:szCs w:val="20"/>
        </w:rPr>
        <w:t>208.000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42D3D813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86BB2">
        <w:rPr>
          <w:rFonts w:ascii="Arial" w:hAnsi="Arial" w:cs="Arial"/>
          <w:b/>
          <w:sz w:val="18"/>
          <w:szCs w:val="20"/>
        </w:rPr>
        <w:t>20.800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42CC9F8C" w14:textId="06DE2FBB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E86BB2" w:rsidRPr="00E86BB2">
        <w:rPr>
          <w:rFonts w:ascii="Arial" w:hAnsi="Arial"/>
          <w:color w:val="000000"/>
          <w:sz w:val="18"/>
          <w:szCs w:val="20"/>
        </w:rPr>
        <w:t>Nieruchomość zabudowana budynkiem niemieszkalnym – garażowo – usługowym o powierzchni zabudowy 141 m2 (informacja zawarta w kartotece budynków).  oraz budynkiem gospodarczym. Istnienie zabudowy należy uwzględnić w procesie inwestycyjnym.  W bezpośrednim sąsiedztwie zabudowa mieszkaniowa wielorodzinna oraz zabudowa usługowa. Kształt nieruchomości regularny – wielobok zbliżony do prostokąta. Dojazd do nieruchomości bezpośredni – ulicą Reymonta, o nawierzchni bitumicznej. Wykonanie bezpośredniego wjazdu na nieruchomość, w porozumieniu z zarządcą drogi i uwzględnieniem obowiązujących przepisów prawa, należeć będzie do inwestora Nieruchomość posiada dostęp do sieci uzbrojenia – wodnej, kanalizacyjnej, elektrycznej oraz telekomunikacyjnej – sieci znajdują się w ulicy Reymonta. Bezpośrednie włączenie do sieci uzbrojenia należeć będzie do inwestora. Ponadto, w granicach nieruchomości znajduje się sieć kanalizacyjna (k200), przy zachodniej granicy sieć wodna (woD32) oraz gazowa, przy południowo wschodniej granicy znajduje się sieć telekomunikacyjna (</w:t>
      </w:r>
      <w:proofErr w:type="spellStart"/>
      <w:r w:rsidR="00E86BB2" w:rsidRPr="00E86BB2">
        <w:rPr>
          <w:rFonts w:ascii="Arial" w:hAnsi="Arial"/>
          <w:color w:val="000000"/>
          <w:sz w:val="18"/>
          <w:szCs w:val="20"/>
        </w:rPr>
        <w:t>tD</w:t>
      </w:r>
      <w:proofErr w:type="spellEnd"/>
      <w:r w:rsidR="00E86BB2" w:rsidRPr="00E86BB2">
        <w:rPr>
          <w:rFonts w:ascii="Arial" w:hAnsi="Arial"/>
          <w:color w:val="000000"/>
          <w:sz w:val="18"/>
          <w:szCs w:val="20"/>
        </w:rPr>
        <w:t>). Istnienie sieci w granicach nieruchomości należy uwzględnić w procesie inwestycyjnym. Nieruchomość częściowo zadrzewiona i zakrzewiona. Usunięcie drzew, zgodnie z obowiązującymi przepisami prawa należeć będzie do inwestora.</w:t>
      </w:r>
    </w:p>
    <w:p w14:paraId="00D47D38" w14:textId="77777777" w:rsidR="00E86BB2" w:rsidRDefault="00E86BB2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77777777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E86BB2" w:rsidRPr="00E86BB2">
        <w:rPr>
          <w:rFonts w:ascii="Arial" w:hAnsi="Arial" w:cs="Arial"/>
          <w:b/>
          <w:sz w:val="20"/>
          <w:szCs w:val="22"/>
        </w:rPr>
        <w:t>ZG1G/00020274/5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118CBB6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86BB2">
        <w:rPr>
          <w:rFonts w:ascii="Arial" w:hAnsi="Arial"/>
          <w:b/>
          <w:snapToGrid w:val="0"/>
          <w:sz w:val="18"/>
          <w:szCs w:val="20"/>
        </w:rPr>
        <w:t>27 września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86BB2">
        <w:rPr>
          <w:rFonts w:ascii="Arial" w:hAnsi="Arial"/>
          <w:b/>
          <w:snapToGrid w:val="0"/>
          <w:sz w:val="18"/>
          <w:szCs w:val="20"/>
        </w:rPr>
        <w:t>09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7B0009B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86BB2">
        <w:rPr>
          <w:rFonts w:ascii="Arial" w:hAnsi="Arial"/>
          <w:b/>
          <w:snapToGrid w:val="0"/>
          <w:sz w:val="18"/>
          <w:szCs w:val="20"/>
        </w:rPr>
        <w:t>20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56FB9D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7F7A26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2023-08-21T06:35:00Z</cp:lastPrinted>
  <dcterms:created xsi:type="dcterms:W3CDTF">2023-08-21T06:37:00Z</dcterms:created>
  <dcterms:modified xsi:type="dcterms:W3CDTF">2023-08-21T06:37:00Z</dcterms:modified>
</cp:coreProperties>
</file>