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61A720C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CE1D0F">
        <w:rPr>
          <w:rFonts w:ascii="Arial" w:hAnsi="Arial" w:cs="Arial"/>
          <w:sz w:val="20"/>
          <w:szCs w:val="20"/>
        </w:rPr>
        <w:t>nie</w:t>
      </w:r>
      <w:r w:rsidR="0065300D" w:rsidRPr="0065300D">
        <w:rPr>
          <w:rFonts w:ascii="Arial" w:hAnsi="Arial" w:cs="Arial"/>
          <w:sz w:val="20"/>
          <w:szCs w:val="20"/>
        </w:rPr>
        <w:t>zabudowan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nieruchomoś</w:t>
      </w:r>
      <w:r w:rsidR="0065300D">
        <w:rPr>
          <w:rFonts w:ascii="Arial" w:hAnsi="Arial" w:cs="Arial"/>
          <w:sz w:val="20"/>
          <w:szCs w:val="20"/>
        </w:rPr>
        <w:t>ć</w:t>
      </w:r>
      <w:r w:rsidR="0065300D" w:rsidRPr="0065300D">
        <w:rPr>
          <w:rFonts w:ascii="Arial" w:hAnsi="Arial" w:cs="Arial"/>
          <w:sz w:val="20"/>
          <w:szCs w:val="20"/>
        </w:rPr>
        <w:t xml:space="preserve"> gruntow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>, oznaczo</w:t>
      </w:r>
      <w:r w:rsidR="0065300D">
        <w:rPr>
          <w:rFonts w:ascii="Arial" w:hAnsi="Arial" w:cs="Arial"/>
          <w:sz w:val="20"/>
          <w:szCs w:val="20"/>
        </w:rPr>
        <w:t>na</w:t>
      </w:r>
      <w:r w:rsidR="0065300D" w:rsidRPr="0065300D">
        <w:rPr>
          <w:rFonts w:ascii="Arial" w:hAnsi="Arial" w:cs="Arial"/>
          <w:sz w:val="20"/>
          <w:szCs w:val="20"/>
        </w:rPr>
        <w:t xml:space="preserve"> numerem ewidencyjnym </w:t>
      </w:r>
      <w:r w:rsidR="00CE1D0F">
        <w:rPr>
          <w:rFonts w:ascii="Arial" w:hAnsi="Arial" w:cs="Arial"/>
          <w:sz w:val="20"/>
          <w:szCs w:val="20"/>
        </w:rPr>
        <w:t>822/13</w:t>
      </w:r>
      <w:r w:rsidR="0065300D" w:rsidRPr="0065300D">
        <w:rPr>
          <w:rFonts w:ascii="Arial" w:hAnsi="Arial" w:cs="Arial"/>
          <w:sz w:val="20"/>
          <w:szCs w:val="20"/>
        </w:rPr>
        <w:t xml:space="preserve">, dla której prowadzona jest księga wieczysta </w:t>
      </w:r>
      <w:r w:rsidR="00CE1D0F" w:rsidRPr="00CE1D0F">
        <w:rPr>
          <w:rFonts w:ascii="Arial" w:hAnsi="Arial" w:cs="Arial"/>
          <w:sz w:val="20"/>
          <w:szCs w:val="20"/>
        </w:rPr>
        <w:t>ZG1G/00054324/8</w:t>
      </w:r>
      <w:r w:rsidR="0065300D" w:rsidRPr="0065300D">
        <w:rPr>
          <w:rFonts w:ascii="Arial" w:hAnsi="Arial" w:cs="Arial"/>
          <w:sz w:val="20"/>
          <w:szCs w:val="20"/>
        </w:rPr>
        <w:t xml:space="preserve">, o powierzchni </w:t>
      </w:r>
      <w:r w:rsidR="00CE1D0F">
        <w:rPr>
          <w:rFonts w:ascii="Arial" w:hAnsi="Arial" w:cs="Arial"/>
          <w:sz w:val="20"/>
          <w:szCs w:val="20"/>
        </w:rPr>
        <w:t>491</w:t>
      </w:r>
      <w:r w:rsidR="0065300D" w:rsidRPr="0065300D">
        <w:rPr>
          <w:rFonts w:ascii="Arial" w:hAnsi="Arial" w:cs="Arial"/>
          <w:sz w:val="20"/>
          <w:szCs w:val="20"/>
        </w:rPr>
        <w:t xml:space="preserve"> m</w:t>
      </w:r>
      <w:r w:rsidR="00CE1D0F">
        <w:rPr>
          <w:rFonts w:ascii="Arial" w:hAnsi="Arial" w:cs="Arial"/>
          <w:sz w:val="20"/>
          <w:szCs w:val="20"/>
          <w:vertAlign w:val="superscript"/>
        </w:rPr>
        <w:t>2</w:t>
      </w:r>
      <w:r w:rsidR="0065300D" w:rsidRPr="0065300D">
        <w:rPr>
          <w:rFonts w:ascii="Arial" w:hAnsi="Arial" w:cs="Arial"/>
          <w:sz w:val="20"/>
          <w:szCs w:val="20"/>
        </w:rPr>
        <w:t>, położon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przy ul.</w:t>
      </w:r>
      <w:r w:rsidR="00CE1D0F">
        <w:rPr>
          <w:rFonts w:ascii="Arial" w:hAnsi="Arial" w:cs="Arial"/>
          <w:sz w:val="20"/>
          <w:szCs w:val="20"/>
        </w:rPr>
        <w:t xml:space="preserve"> Ratuszowej</w:t>
      </w:r>
      <w:r w:rsidR="0065300D" w:rsidRPr="0065300D">
        <w:rPr>
          <w:rFonts w:ascii="Arial" w:hAnsi="Arial" w:cs="Arial"/>
          <w:sz w:val="20"/>
          <w:szCs w:val="20"/>
        </w:rPr>
        <w:t xml:space="preserve"> w Żaganiu,</w:t>
      </w:r>
    </w:p>
    <w:p w14:paraId="54D33658" w14:textId="72519066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CE1D0F">
        <w:rPr>
          <w:rFonts w:ascii="Arial" w:hAnsi="Arial" w:cs="Arial"/>
          <w:b/>
          <w:sz w:val="20"/>
          <w:szCs w:val="20"/>
        </w:rPr>
        <w:t>146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2F598DCA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CE1D0F">
        <w:rPr>
          <w:rFonts w:ascii="Arial" w:hAnsi="Arial" w:cs="Arial"/>
          <w:b/>
          <w:sz w:val="20"/>
          <w:szCs w:val="20"/>
        </w:rPr>
        <w:t>14</w:t>
      </w:r>
      <w:r w:rsidR="00851C34">
        <w:rPr>
          <w:rFonts w:ascii="Arial" w:hAnsi="Arial" w:cs="Arial"/>
          <w:b/>
          <w:sz w:val="20"/>
          <w:szCs w:val="20"/>
        </w:rPr>
        <w:t>.</w:t>
      </w:r>
      <w:r w:rsidR="00CE1D0F">
        <w:rPr>
          <w:rFonts w:ascii="Arial" w:hAnsi="Arial" w:cs="Arial"/>
          <w:b/>
          <w:sz w:val="20"/>
          <w:szCs w:val="20"/>
        </w:rPr>
        <w:t>6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36CE50C7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CE1D0F" w:rsidRPr="00CE1D0F">
        <w:rPr>
          <w:rFonts w:ascii="Arial" w:hAnsi="Arial"/>
          <w:color w:val="000000"/>
          <w:sz w:val="20"/>
          <w:szCs w:val="20"/>
        </w:rPr>
        <w:t>Niezabudowana nieruchomość gruntowa o nieregularnym kształcie, zbliżonym do prostokąta. Dojazd do nieruchomości dogodny - drogą o nawierzchni bitumicznej. Powierzchnia nieruchomości płaska. W sąsiedztwie nieruchomości zabudowa mieszkaniowa wielorodzinna, usługowa oraz budynki użyteczności publicznej. Nieruchomość położona w obszarze ścisłej ochrony konserwatora zabytków – wszelkie inwestycje muszą być uzgadniane z konserwatorem zabytków. Na nieruchomości znajdują się pozostałości po wyburzonych budynkach usługowych – podmurówki, oraz nieużytkowany budynek usługowy, nietrwale związany z gruntem, którego likwidacja oraz ewentualna realizacja roszczeń właściciela należeć będzie do inwestora.  W nieruchomości znajdują się sieci uzbrojenia – ciepłownicza, gazowa oraz elektryczna, których istnienie należy uwzględnić w procesie inwestycyjnym. Pozostałe sieci uzbrojenia znajdują się w ul. Ratuszowej – bezpośrednie przyłączenie do sieci należeć będzie do inwestora.</w:t>
      </w:r>
      <w:r w:rsidR="00CE1D0F">
        <w:rPr>
          <w:rFonts w:ascii="Arial" w:hAnsi="Arial"/>
          <w:color w:val="000000"/>
          <w:sz w:val="20"/>
          <w:szCs w:val="20"/>
        </w:rPr>
        <w:t xml:space="preserve"> </w:t>
      </w:r>
      <w:r w:rsidR="00CE1D0F" w:rsidRPr="00CE1D0F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oznaczonym symbolem            UP,UK 3 oznaczającym tereny funkcji usług publicznych z dopuszczeniem komercyjnych.</w:t>
      </w:r>
    </w:p>
    <w:p w14:paraId="1A268FEC" w14:textId="49D17A22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CE1D0F">
        <w:rPr>
          <w:rFonts w:ascii="Arial" w:hAnsi="Arial"/>
          <w:b/>
          <w:sz w:val="20"/>
          <w:szCs w:val="22"/>
        </w:rPr>
        <w:t>ZG1G/00054324/8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9E8D4C4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CE1D0F">
        <w:rPr>
          <w:rFonts w:ascii="Arial" w:hAnsi="Arial" w:cs="Arial"/>
          <w:snapToGrid w:val="0"/>
          <w:sz w:val="20"/>
          <w:szCs w:val="20"/>
        </w:rPr>
        <w:t>13 września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56A3F9FD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E1D0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 listopada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09.</w:t>
      </w:r>
      <w:r w:rsidR="00CE1D0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65EDC2E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851C3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F973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 października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F6D38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2021-09-22T10:48:00Z</cp:lastPrinted>
  <dcterms:created xsi:type="dcterms:W3CDTF">2014-10-16T09:13:00Z</dcterms:created>
  <dcterms:modified xsi:type="dcterms:W3CDTF">2021-09-22T10:48:00Z</dcterms:modified>
</cp:coreProperties>
</file>