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35A695DF" w:rsidR="001F3032" w:rsidRPr="00C37A8F" w:rsidRDefault="00A73095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TRZECI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093FD049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8009FF">
        <w:rPr>
          <w:rFonts w:ascii="Arial" w:hAnsi="Arial" w:cs="Arial"/>
          <w:b/>
          <w:sz w:val="20"/>
          <w:szCs w:val="22"/>
        </w:rPr>
        <w:t>6</w:t>
      </w:r>
      <w:r w:rsidR="00F572D3">
        <w:rPr>
          <w:rFonts w:ascii="Arial" w:hAnsi="Arial" w:cs="Arial"/>
          <w:b/>
          <w:sz w:val="20"/>
          <w:szCs w:val="22"/>
        </w:rPr>
        <w:t xml:space="preserve">, </w:t>
      </w:r>
      <w:r w:rsidR="008009FF" w:rsidRPr="008009FF">
        <w:rPr>
          <w:rFonts w:ascii="Arial" w:hAnsi="Arial" w:cs="Arial"/>
          <w:b/>
          <w:sz w:val="20"/>
          <w:szCs w:val="22"/>
        </w:rPr>
        <w:t>ul. Piłsudskiego 3, o powierzchni 36,27 m2, wraz z pomieszczeniem przynależnym – piwnicą o powierzchni 14,56 m2 oraz komórką zewnętrzną o powierzchni 6,61 m2, wraz z udziałem 123/1000 w częściach wspólnych budynku ul. Piłsudskiego 3 oraz nieruchomości oznaczonej numerem ewidencyjnym 1215/2, dla której prowadzona jest księga wieczysta ZG1G/00044662/6, o powierzchni 0,1226 ha.</w:t>
      </w:r>
    </w:p>
    <w:p w14:paraId="1139293C" w14:textId="6F217B3B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A73095">
        <w:rPr>
          <w:rFonts w:ascii="Arial" w:hAnsi="Arial"/>
          <w:b/>
          <w:sz w:val="18"/>
          <w:szCs w:val="20"/>
        </w:rPr>
        <w:t>77.200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2D8CFCCF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A73095">
        <w:rPr>
          <w:rFonts w:ascii="Arial" w:hAnsi="Arial" w:cs="Arial"/>
          <w:b/>
          <w:sz w:val="18"/>
          <w:szCs w:val="20"/>
        </w:rPr>
        <w:t>7.720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0A7C21BE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8009FF" w:rsidRPr="008009FF">
        <w:rPr>
          <w:rFonts w:ascii="Arial" w:hAnsi="Arial"/>
          <w:color w:val="000000"/>
          <w:sz w:val="18"/>
          <w:szCs w:val="20"/>
        </w:rPr>
        <w:t xml:space="preserve">Lokal mieszkalny, będący przybudówką do budynku mieszkalnego, wielorodzinnego przy ul. Piłsudskiego 3 w Żaganiu. Wejście do lokalu bezpośrednio z podwórza. Lokal w złym stanie technicznym, przeznaczony do remontu kapitalnego. W lokalu znajdują się instalacje wodna, kanalizacyjna i elektryczna, które wymagają remontu i rozbudowy. Brak pieca i ogrzewania. Stolarka okienna plastikowa, do wymiany. W skład lokalu wchodzą trzy pomieszczenia mieszkalne oraz przedpokój. Ewentualne wykonanie łazienki i </w:t>
      </w:r>
      <w:proofErr w:type="spellStart"/>
      <w:r w:rsidR="008009FF" w:rsidRPr="008009FF">
        <w:rPr>
          <w:rFonts w:ascii="Arial" w:hAnsi="Arial"/>
          <w:color w:val="000000"/>
          <w:sz w:val="18"/>
          <w:szCs w:val="20"/>
        </w:rPr>
        <w:t>wc</w:t>
      </w:r>
      <w:proofErr w:type="spellEnd"/>
      <w:r w:rsidR="008009FF" w:rsidRPr="008009FF">
        <w:rPr>
          <w:rFonts w:ascii="Arial" w:hAnsi="Arial"/>
          <w:color w:val="000000"/>
          <w:sz w:val="18"/>
          <w:szCs w:val="20"/>
        </w:rPr>
        <w:t xml:space="preserve"> w lokalu należeć będzie do inwestora</w:t>
      </w:r>
      <w:r w:rsidR="008009FF">
        <w:rPr>
          <w:rFonts w:ascii="Arial" w:hAnsi="Arial"/>
          <w:color w:val="000000"/>
          <w:sz w:val="18"/>
          <w:szCs w:val="20"/>
        </w:rPr>
        <w:t xml:space="preserve">. </w:t>
      </w:r>
      <w:r w:rsidR="008009FF" w:rsidRPr="008009FF">
        <w:rPr>
          <w:rFonts w:ascii="Arial" w:hAnsi="Arial"/>
          <w:color w:val="000000"/>
          <w:sz w:val="18"/>
          <w:szCs w:val="20"/>
        </w:rPr>
        <w:t>Nieruchomość położona w obszarze obowiązywania miejscowego planu zagospodarowania przestrzennego w jednostce oznaczonej symbolem 3MWU, dopuszczającym zabudowę mieszkaniową wielorodzinną i usług.</w:t>
      </w:r>
    </w:p>
    <w:p w14:paraId="42C06C24" w14:textId="3FB25F61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8009FF" w:rsidRPr="008009FF">
        <w:rPr>
          <w:rFonts w:ascii="Arial" w:hAnsi="Arial" w:cs="Arial"/>
          <w:b/>
          <w:color w:val="000000"/>
          <w:sz w:val="18"/>
          <w:szCs w:val="20"/>
        </w:rPr>
        <w:t>ZG1G/00044662/6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66A21264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762D93">
        <w:rPr>
          <w:rFonts w:ascii="Arial" w:hAnsi="Arial"/>
          <w:b/>
          <w:snapToGrid w:val="0"/>
          <w:sz w:val="18"/>
          <w:szCs w:val="20"/>
        </w:rPr>
        <w:t>20 września</w:t>
      </w:r>
      <w:r w:rsidR="00FE18A8" w:rsidRPr="00A3641E">
        <w:rPr>
          <w:rFonts w:ascii="Arial" w:hAnsi="Arial"/>
          <w:b/>
          <w:snapToGrid w:val="0"/>
          <w:sz w:val="18"/>
          <w:szCs w:val="20"/>
        </w:rPr>
        <w:t xml:space="preserve"> 2022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8009FF">
        <w:rPr>
          <w:rFonts w:ascii="Arial" w:hAnsi="Arial"/>
          <w:b/>
          <w:snapToGrid w:val="0"/>
          <w:sz w:val="18"/>
          <w:szCs w:val="20"/>
        </w:rPr>
        <w:t>1</w:t>
      </w:r>
      <w:r w:rsidR="00A73095">
        <w:rPr>
          <w:rFonts w:ascii="Arial" w:hAnsi="Arial"/>
          <w:b/>
          <w:snapToGrid w:val="0"/>
          <w:sz w:val="18"/>
          <w:szCs w:val="20"/>
        </w:rPr>
        <w:t>1</w:t>
      </w:r>
      <w:r w:rsidR="00A73095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="008009FF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697B335A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A73095">
        <w:rPr>
          <w:rFonts w:ascii="Arial" w:hAnsi="Arial"/>
          <w:b/>
          <w:snapToGrid w:val="0"/>
          <w:sz w:val="18"/>
          <w:szCs w:val="20"/>
        </w:rPr>
        <w:t>14 września</w:t>
      </w:r>
      <w:r w:rsidR="000C472D" w:rsidRPr="00A3641E">
        <w:rPr>
          <w:rFonts w:ascii="Arial" w:hAnsi="Arial"/>
          <w:b/>
          <w:snapToGrid w:val="0"/>
          <w:sz w:val="18"/>
          <w:szCs w:val="20"/>
        </w:rPr>
        <w:t xml:space="preserve"> 2022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109B4F78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B355DD">
        <w:rPr>
          <w:rFonts w:ascii="Arial" w:hAnsi="Arial"/>
          <w:snapToGrid w:val="0"/>
          <w:sz w:val="18"/>
          <w:szCs w:val="20"/>
        </w:rPr>
        <w:t>2 lutego 2022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9B7E52" w:rsidRPr="009B7E52">
        <w:rPr>
          <w:rFonts w:ascii="Arial" w:hAnsi="Arial"/>
          <w:snapToGrid w:val="0"/>
          <w:sz w:val="18"/>
          <w:szCs w:val="20"/>
        </w:rPr>
        <w:t>Pierwszy przetarg na zbycie nieruchomości odbył się 8 marca 2022 r. i zakończył się wynikiem negatywnym.</w:t>
      </w:r>
      <w:r w:rsidR="00A73095">
        <w:rPr>
          <w:rFonts w:ascii="Arial" w:hAnsi="Arial"/>
          <w:snapToGrid w:val="0"/>
          <w:sz w:val="18"/>
          <w:szCs w:val="20"/>
        </w:rPr>
        <w:t xml:space="preserve"> </w:t>
      </w:r>
      <w:r w:rsidR="00A73095" w:rsidRPr="00A73095">
        <w:rPr>
          <w:rFonts w:ascii="Arial" w:hAnsi="Arial"/>
          <w:snapToGrid w:val="0"/>
          <w:sz w:val="18"/>
          <w:szCs w:val="20"/>
        </w:rPr>
        <w:t>Drugi przetarg na zbycie nieruchomości odbył się 6 czerwca 2022 r.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F3032"/>
    <w:rsid w:val="002D4290"/>
    <w:rsid w:val="0037565E"/>
    <w:rsid w:val="00381F52"/>
    <w:rsid w:val="003A0AC8"/>
    <w:rsid w:val="00562E98"/>
    <w:rsid w:val="006327C3"/>
    <w:rsid w:val="00762D93"/>
    <w:rsid w:val="00786808"/>
    <w:rsid w:val="008009FF"/>
    <w:rsid w:val="008304FD"/>
    <w:rsid w:val="009B7E52"/>
    <w:rsid w:val="009F5010"/>
    <w:rsid w:val="00A3641E"/>
    <w:rsid w:val="00A73095"/>
    <w:rsid w:val="00B355DD"/>
    <w:rsid w:val="00B640FC"/>
    <w:rsid w:val="00B92793"/>
    <w:rsid w:val="00C10D56"/>
    <w:rsid w:val="00C37A8F"/>
    <w:rsid w:val="00E4414D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27</cp:revision>
  <cp:lastPrinted>2022-07-11T06:36:00Z</cp:lastPrinted>
  <dcterms:created xsi:type="dcterms:W3CDTF">2014-11-06T07:41:00Z</dcterms:created>
  <dcterms:modified xsi:type="dcterms:W3CDTF">2022-07-11T06:37:00Z</dcterms:modified>
</cp:coreProperties>
</file>