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D5A866B" w:rsidR="009568A5" w:rsidRPr="00A03BBD" w:rsidRDefault="002E5F2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3D23ED8A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</w:t>
      </w:r>
      <w:r w:rsidR="007A0C10">
        <w:rPr>
          <w:rFonts w:ascii="Arial" w:hAnsi="Arial" w:cs="Arial"/>
          <w:b/>
          <w:bCs/>
          <w:sz w:val="20"/>
          <w:szCs w:val="20"/>
        </w:rPr>
        <w:t>1965/24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7A0C10">
        <w:rPr>
          <w:rFonts w:ascii="Arial" w:hAnsi="Arial" w:cs="Arial"/>
          <w:b/>
          <w:sz w:val="20"/>
          <w:szCs w:val="20"/>
        </w:rPr>
        <w:t>1,3040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7A0C10">
        <w:rPr>
          <w:rFonts w:ascii="Arial" w:hAnsi="Arial" w:cs="Arial"/>
          <w:sz w:val="20"/>
          <w:szCs w:val="20"/>
        </w:rPr>
        <w:t xml:space="preserve">Asnyka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54D33658" w14:textId="487AE397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7A0C10">
        <w:rPr>
          <w:rFonts w:ascii="Arial" w:hAnsi="Arial" w:cs="Arial"/>
          <w:b/>
          <w:sz w:val="20"/>
          <w:szCs w:val="20"/>
        </w:rPr>
        <w:t>466</w:t>
      </w:r>
      <w:r w:rsidR="002A2524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00AD14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A0C10">
        <w:rPr>
          <w:rFonts w:ascii="Arial" w:hAnsi="Arial" w:cs="Arial"/>
          <w:b/>
          <w:sz w:val="20"/>
          <w:szCs w:val="20"/>
        </w:rPr>
        <w:t>46</w:t>
      </w:r>
      <w:r w:rsidR="002A2524">
        <w:rPr>
          <w:rFonts w:ascii="Arial" w:hAnsi="Arial" w:cs="Arial"/>
          <w:b/>
          <w:sz w:val="20"/>
          <w:szCs w:val="20"/>
        </w:rPr>
        <w:t>.</w:t>
      </w:r>
      <w:r w:rsidR="007A0C10">
        <w:rPr>
          <w:rFonts w:ascii="Arial" w:hAnsi="Arial" w:cs="Arial"/>
          <w:b/>
          <w:sz w:val="20"/>
          <w:szCs w:val="20"/>
        </w:rPr>
        <w:t>6</w:t>
      </w:r>
      <w:r w:rsidR="002A252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2390AE82"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A0C10" w:rsidRPr="007A0C10">
        <w:rPr>
          <w:rFonts w:ascii="Arial" w:hAnsi="Arial"/>
          <w:color w:val="000000"/>
          <w:sz w:val="20"/>
          <w:szCs w:val="20"/>
        </w:rPr>
        <w:t xml:space="preserve">Grunt niezabudowany i niezagospodarowany, położony w sąsiedztwie zabudowy o przeznaczeniu </w:t>
      </w:r>
      <w:proofErr w:type="spellStart"/>
      <w:r w:rsidR="007A0C10" w:rsidRPr="007A0C10">
        <w:rPr>
          <w:rFonts w:ascii="Arial" w:hAnsi="Arial"/>
          <w:color w:val="000000"/>
          <w:sz w:val="20"/>
          <w:szCs w:val="20"/>
        </w:rPr>
        <w:t>produkcyjno</w:t>
      </w:r>
      <w:proofErr w:type="spellEnd"/>
      <w:r w:rsidR="007A0C10" w:rsidRPr="007A0C10">
        <w:rPr>
          <w:rFonts w:ascii="Arial" w:hAnsi="Arial"/>
          <w:color w:val="000000"/>
          <w:sz w:val="20"/>
          <w:szCs w:val="20"/>
        </w:rPr>
        <w:t xml:space="preserve"> –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przy zachodniej granicy działki znajduje się sieć kanalizacyjna oraz wodna – ustanowiona zostanie służebność. Pozostałe sieci uzbrojenia znajdują się w drogach dojazdowych do nieruchomości. Nieruchomość znajduje się w obszarze, w którym istnieje średnie ryzyko wystąpienia powodzi i wynosi raz na 100 lat (1%), ryzyko i wynikające z tego obostrzenia należy uwzględnić w procesie inwestycyjnym.</w:t>
      </w:r>
      <w:r w:rsidR="007A0C10">
        <w:rPr>
          <w:rFonts w:ascii="Arial" w:hAnsi="Arial"/>
          <w:color w:val="000000"/>
          <w:sz w:val="20"/>
          <w:szCs w:val="20"/>
        </w:rPr>
        <w:t xml:space="preserve"> Z</w:t>
      </w:r>
      <w:r w:rsidR="007A0C10" w:rsidRPr="007A0C10">
        <w:rPr>
          <w:rFonts w:ascii="Arial" w:hAnsi="Arial"/>
          <w:color w:val="000000"/>
          <w:sz w:val="20"/>
          <w:szCs w:val="20"/>
        </w:rPr>
        <w:t>godnie z miejscowym planem zagospodarowania przestrzennego nieruchomość przeznaczona jest pod zabudowę usługowo – produkcyjną. Wielkość powierzchni zabudowy – nie więcej niż 70% pow. działki, powierzchnia biologicznie czynna nie mniej niż 30%. Wysokość zabudowy do dwóch kondygnacji, nie przekraczająca 15 m, szerokość elewacji frontowej od 10 do 120 m</w:t>
      </w:r>
    </w:p>
    <w:p w14:paraId="1A268FEC" w14:textId="3BF0F8C9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A0C10" w:rsidRPr="007A0C10">
        <w:rPr>
          <w:rFonts w:ascii="Arial" w:hAnsi="Arial" w:cs="Arial"/>
          <w:b/>
          <w:color w:val="000000"/>
          <w:sz w:val="20"/>
          <w:szCs w:val="20"/>
        </w:rPr>
        <w:t>ZG1G/00041682/1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46C1FEF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5311ED70" w14:textId="0C05FCBC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7A0C10">
        <w:rPr>
          <w:rFonts w:ascii="Arial" w:hAnsi="Arial" w:cs="Arial"/>
          <w:snapToGrid w:val="0"/>
          <w:sz w:val="20"/>
          <w:szCs w:val="20"/>
        </w:rPr>
        <w:t>22 sierpnia</w:t>
      </w:r>
      <w:r w:rsidR="00541E6B">
        <w:rPr>
          <w:rFonts w:ascii="Arial" w:hAnsi="Arial" w:cs="Arial"/>
          <w:snapToGrid w:val="0"/>
          <w:sz w:val="20"/>
          <w:szCs w:val="20"/>
        </w:rPr>
        <w:t xml:space="preserve"> 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2E5F2F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17 listopada 2020 r. i zakończył się wynikiem negatywnym.</w:t>
      </w:r>
    </w:p>
    <w:p w14:paraId="71CEC4D1" w14:textId="0B2EAE94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E5F2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 marca 2021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2A252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9</w:t>
      </w:r>
      <w:r w:rsidR="00BD558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</w:t>
      </w:r>
      <w:r w:rsidR="007A0C10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007167C5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2E5F2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12 marca 2020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2935DB65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2E5F2F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A2524"/>
    <w:rsid w:val="002E5F2F"/>
    <w:rsid w:val="002F08F3"/>
    <w:rsid w:val="003F6D38"/>
    <w:rsid w:val="004954C9"/>
    <w:rsid w:val="004E1639"/>
    <w:rsid w:val="00523CCA"/>
    <w:rsid w:val="00531637"/>
    <w:rsid w:val="00541E6B"/>
    <w:rsid w:val="00637475"/>
    <w:rsid w:val="006508D4"/>
    <w:rsid w:val="006F25C0"/>
    <w:rsid w:val="007A0C1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2021-01-08T09:03:00Z</cp:lastPrinted>
  <dcterms:created xsi:type="dcterms:W3CDTF">2014-10-16T09:13:00Z</dcterms:created>
  <dcterms:modified xsi:type="dcterms:W3CDTF">2021-01-08T09:03:00Z</dcterms:modified>
</cp:coreProperties>
</file>