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546B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5ADA54A7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04EE64F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48A3E01F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1D9EC4A" w14:textId="48D0FEFD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597036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</w:t>
      </w:r>
      <w:r w:rsidR="00597036">
        <w:rPr>
          <w:rFonts w:ascii="Arial" w:hAnsi="Arial" w:cs="Arial"/>
          <w:sz w:val="20"/>
          <w:szCs w:val="20"/>
        </w:rPr>
        <w:t>r</w:t>
      </w:r>
      <w:r w:rsidR="00C04BE7">
        <w:rPr>
          <w:rFonts w:ascii="Arial" w:hAnsi="Arial" w:cs="Arial"/>
          <w:sz w:val="20"/>
          <w:szCs w:val="20"/>
        </w:rPr>
        <w:t>em</w:t>
      </w:r>
      <w:r w:rsidR="00597036">
        <w:rPr>
          <w:rFonts w:ascii="Arial" w:hAnsi="Arial" w:cs="Arial"/>
          <w:sz w:val="20"/>
          <w:szCs w:val="20"/>
        </w:rPr>
        <w:t xml:space="preserve"> ewidencyjnym </w:t>
      </w:r>
      <w:r w:rsidR="00C04BE7">
        <w:rPr>
          <w:rFonts w:ascii="Arial" w:hAnsi="Arial" w:cs="Arial"/>
          <w:sz w:val="20"/>
          <w:szCs w:val="20"/>
        </w:rPr>
        <w:t>930/6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6508D4">
        <w:rPr>
          <w:rFonts w:ascii="Arial" w:hAnsi="Arial" w:cs="Arial"/>
          <w:b/>
          <w:sz w:val="20"/>
          <w:szCs w:val="20"/>
        </w:rPr>
        <w:t>0,</w:t>
      </w:r>
      <w:r w:rsidR="00C04BE7">
        <w:rPr>
          <w:rFonts w:ascii="Arial" w:hAnsi="Arial" w:cs="Arial"/>
          <w:b/>
          <w:sz w:val="20"/>
          <w:szCs w:val="20"/>
        </w:rPr>
        <w:t>0347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C04BE7">
        <w:rPr>
          <w:rFonts w:ascii="Arial" w:hAnsi="Arial" w:cs="Arial"/>
          <w:sz w:val="20"/>
          <w:szCs w:val="20"/>
        </w:rPr>
        <w:t>Mickiewicza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304AA35B" w14:textId="25581F50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C04BE7">
        <w:rPr>
          <w:rFonts w:ascii="Arial" w:hAnsi="Arial" w:cs="Arial"/>
          <w:b/>
          <w:sz w:val="20"/>
          <w:szCs w:val="20"/>
        </w:rPr>
        <w:t>93.000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3A69B70C" w14:textId="7D68586F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C04BE7">
        <w:rPr>
          <w:rFonts w:ascii="Arial" w:hAnsi="Arial" w:cs="Arial"/>
          <w:b/>
          <w:sz w:val="20"/>
          <w:szCs w:val="20"/>
        </w:rPr>
        <w:t>9.300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04A00ACC" w14:textId="26BBA57D" w:rsidR="00C42E73" w:rsidRPr="00C04BE7" w:rsidRDefault="009568A5" w:rsidP="00C04BE7">
      <w:pPr>
        <w:jc w:val="both"/>
        <w:rPr>
          <w:rFonts w:ascii="Arial" w:hAnsi="Arial" w:cs="Arial"/>
          <w:color w:val="000000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C04BE7" w:rsidRPr="00C04BE7">
        <w:rPr>
          <w:rFonts w:ascii="Arial" w:hAnsi="Arial" w:cs="Arial"/>
          <w:color w:val="000000"/>
          <w:sz w:val="20"/>
        </w:rPr>
        <w:t>Grunt niezabudowany i niezagospodarowany, o regularnym kształcie – prostokąta, teren nieruchomości płaski. Nieruchomość położona w sąsiedztwie zabudowy mieszkaniowej wielorodzinnej oraz budynków użyteczności publicznej. Nieruchomość zadrzewiona i zakrzewiona, usunięcie roślinności należeć będzie do inwestora. Dojazd do nieruchomości bardzo dobry, ulicą A. Mickiewicza o  nawierzchni bitumicznej. Nieruchomość znajduje się w strefie ścisłej ochrony konserwatorskiej. Wszelkie prace inwestycyjne muszą być prowadzone w uzgodnieniu z Konserwatorem Zabytków.</w:t>
      </w:r>
      <w:r w:rsidR="00C04BE7">
        <w:rPr>
          <w:rFonts w:ascii="Arial" w:hAnsi="Arial" w:cs="Arial"/>
          <w:color w:val="000000"/>
          <w:sz w:val="20"/>
        </w:rPr>
        <w:t xml:space="preserve"> Z</w:t>
      </w:r>
      <w:r w:rsidR="00C04BE7" w:rsidRPr="00C04BE7">
        <w:rPr>
          <w:rFonts w:ascii="Arial" w:hAnsi="Arial" w:cs="Arial"/>
          <w:color w:val="000000"/>
          <w:sz w:val="20"/>
        </w:rPr>
        <w:t>godnie z obowiązującym miejscowym planem zagospodarowania przestrzennego, przyjętego  Uchwałą nr XIII/92/2019 Rady Miasta Żagań</w:t>
      </w:r>
      <w:r w:rsidR="00C04BE7">
        <w:rPr>
          <w:rFonts w:ascii="Arial" w:hAnsi="Arial" w:cs="Arial"/>
          <w:color w:val="000000"/>
          <w:sz w:val="20"/>
        </w:rPr>
        <w:t xml:space="preserve"> </w:t>
      </w:r>
      <w:r w:rsidR="00C04BE7" w:rsidRPr="00C04BE7">
        <w:rPr>
          <w:rFonts w:ascii="Arial" w:hAnsi="Arial" w:cs="Arial"/>
          <w:color w:val="000000"/>
          <w:sz w:val="20"/>
        </w:rPr>
        <w:t>z dnia 28 listopada 2019 r.</w:t>
      </w:r>
      <w:r w:rsidR="00C04BE7">
        <w:rPr>
          <w:rFonts w:ascii="Arial" w:hAnsi="Arial" w:cs="Arial"/>
          <w:color w:val="000000"/>
          <w:sz w:val="20"/>
        </w:rPr>
        <w:t xml:space="preserve"> </w:t>
      </w:r>
      <w:r w:rsidR="00C04BE7" w:rsidRPr="00C04BE7">
        <w:rPr>
          <w:rFonts w:ascii="Arial" w:hAnsi="Arial" w:cs="Arial"/>
          <w:color w:val="000000"/>
          <w:sz w:val="20"/>
        </w:rPr>
        <w:t>w sprawie uchwalenia miejscowego planu zagospodarowania przestrzennego terenu „Łąk Staromiejskich II” w Żaganiu nieruchomość oznaczona jest symbolem 2U/ZP i przeznaczona jest pod zabudowę usługową oraz znajduje się w obszarze oznaczonym jako obszary szczególnego zagrożenia powodzią, na których prawdopodobieństwo</w:t>
      </w:r>
      <w:r w:rsidR="00C04BE7">
        <w:rPr>
          <w:rFonts w:ascii="Arial" w:hAnsi="Arial" w:cs="Arial"/>
          <w:color w:val="000000"/>
          <w:sz w:val="20"/>
        </w:rPr>
        <w:t xml:space="preserve"> </w:t>
      </w:r>
      <w:r w:rsidR="00C04BE7" w:rsidRPr="00C04BE7">
        <w:rPr>
          <w:rFonts w:ascii="Arial" w:hAnsi="Arial" w:cs="Arial"/>
          <w:color w:val="000000"/>
          <w:sz w:val="20"/>
        </w:rPr>
        <w:t>wystąpienia powodzi jest średnie i wynosi 1%</w:t>
      </w:r>
      <w:r w:rsidR="00C04BE7">
        <w:rPr>
          <w:rFonts w:ascii="Arial" w:hAnsi="Arial" w:cs="Arial"/>
          <w:color w:val="000000"/>
          <w:sz w:val="20"/>
        </w:rPr>
        <w:t>.</w:t>
      </w:r>
    </w:p>
    <w:p w14:paraId="0ACAF9DF" w14:textId="77777777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Kw </w:t>
      </w:r>
      <w:r w:rsidR="00597036" w:rsidRPr="00597036">
        <w:rPr>
          <w:rFonts w:ascii="Arial" w:hAnsi="Arial" w:cs="Arial"/>
          <w:b/>
          <w:color w:val="000000"/>
          <w:sz w:val="20"/>
          <w:szCs w:val="20"/>
        </w:rPr>
        <w:t>ZG1G/00060402/4</w:t>
      </w:r>
    </w:p>
    <w:p w14:paraId="27E0979C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6E250CF7" w14:textId="68B104AB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C04BE7">
        <w:rPr>
          <w:rFonts w:ascii="Arial" w:hAnsi="Arial" w:cs="Arial"/>
          <w:snapToGrid w:val="0"/>
          <w:sz w:val="20"/>
          <w:szCs w:val="20"/>
        </w:rPr>
        <w:t xml:space="preserve">24 kwietnia </w:t>
      </w:r>
      <w:r w:rsidR="00597036">
        <w:rPr>
          <w:rFonts w:ascii="Arial" w:hAnsi="Arial" w:cs="Arial"/>
          <w:snapToGrid w:val="0"/>
          <w:sz w:val="20"/>
          <w:szCs w:val="20"/>
        </w:rPr>
        <w:t>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1E6F6302" w14:textId="4139A44F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C04BE7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30 czerwca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</w:t>
      </w:r>
      <w:r w:rsidR="0059703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C04BE7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14:paraId="32360032" w14:textId="57039D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C04BE7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26 czerwca </w:t>
      </w:r>
      <w:r w:rsidR="0059703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2020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5CB2480B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3E82AB95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FD47F3" w14:textId="77777777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BE006E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24235CEC" w14:textId="7550BAFD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C04BE7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 </w:t>
      </w:r>
      <w:r w:rsidR="00C04BE7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7BB07EDB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CFF8F72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597036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04BE7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C21E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2019-08-06T11:37:00Z</cp:lastPrinted>
  <dcterms:created xsi:type="dcterms:W3CDTF">2014-10-16T09:13:00Z</dcterms:created>
  <dcterms:modified xsi:type="dcterms:W3CDTF">2020-05-15T08:38:00Z</dcterms:modified>
</cp:coreProperties>
</file>