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0890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5F4F6B6E" w14:textId="7FE0DE8E" w:rsidR="001F3032" w:rsidRPr="00C37A8F" w:rsidRDefault="00B023E2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04D94331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1DF35551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1B1CC5D7" w14:textId="7777777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E07510" w:rsidRPr="00E07510">
        <w:rPr>
          <w:rFonts w:ascii="Arial" w:hAnsi="Arial" w:cs="Arial"/>
          <w:b/>
          <w:sz w:val="20"/>
          <w:szCs w:val="22"/>
        </w:rPr>
        <w:t>zabudowan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nieruchomoś</w:t>
      </w:r>
      <w:r w:rsidR="00E07510">
        <w:rPr>
          <w:rFonts w:ascii="Arial" w:hAnsi="Arial" w:cs="Arial"/>
          <w:b/>
          <w:sz w:val="20"/>
          <w:szCs w:val="22"/>
        </w:rPr>
        <w:t>ć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gruntow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o pow. 0,0099 ha, oznaczon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numerem ewidencyjnym 2421/4, położon</w:t>
      </w:r>
      <w:r w:rsidR="00E07510">
        <w:rPr>
          <w:rFonts w:ascii="Arial" w:hAnsi="Arial" w:cs="Arial"/>
          <w:b/>
          <w:sz w:val="20"/>
          <w:szCs w:val="22"/>
        </w:rPr>
        <w:t>a</w:t>
      </w:r>
      <w:r w:rsidR="00E07510" w:rsidRPr="00E07510">
        <w:rPr>
          <w:rFonts w:ascii="Arial" w:hAnsi="Arial" w:cs="Arial"/>
          <w:b/>
          <w:sz w:val="20"/>
          <w:szCs w:val="22"/>
        </w:rPr>
        <w:t xml:space="preserve"> przy ul. Łokietka w Żaganiu, dla której Sąd Rejonowy w Żaganiu prowadzi księgę wieczystą ZG1G/00042045/1.</w:t>
      </w:r>
    </w:p>
    <w:p w14:paraId="39DE9289" w14:textId="77777777" w:rsidR="00E07510" w:rsidRDefault="00E07510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2AA86BE9" w14:textId="67507BE9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2E5371">
        <w:rPr>
          <w:rFonts w:ascii="Arial" w:hAnsi="Arial"/>
          <w:b/>
          <w:sz w:val="18"/>
          <w:szCs w:val="20"/>
        </w:rPr>
        <w:t>9.700</w:t>
      </w:r>
      <w:r w:rsidR="00E07510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1A4090D4" w14:textId="77E0A3BC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2E5371">
        <w:rPr>
          <w:rFonts w:ascii="Arial" w:hAnsi="Arial" w:cs="Arial"/>
          <w:b/>
          <w:sz w:val="18"/>
          <w:szCs w:val="20"/>
        </w:rPr>
        <w:t>1.940</w:t>
      </w:r>
      <w:r w:rsidR="00E0751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3A00DDEC" w14:textId="77777777" w:rsidR="001F3032" w:rsidRPr="00E07510" w:rsidRDefault="001F3032" w:rsidP="00E07510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E07510" w:rsidRPr="00E07510">
        <w:rPr>
          <w:rFonts w:ascii="Arial" w:hAnsi="Arial"/>
          <w:color w:val="000000"/>
          <w:sz w:val="18"/>
          <w:szCs w:val="20"/>
        </w:rPr>
        <w:t xml:space="preserve">Nieruchomość zabudowana budynkiem </w:t>
      </w:r>
      <w:r w:rsidR="00365D4A">
        <w:rPr>
          <w:rFonts w:ascii="Arial" w:hAnsi="Arial"/>
          <w:color w:val="000000"/>
          <w:sz w:val="18"/>
          <w:szCs w:val="20"/>
        </w:rPr>
        <w:t>nie</w:t>
      </w:r>
      <w:r w:rsidR="00E07510" w:rsidRPr="00E07510">
        <w:rPr>
          <w:rFonts w:ascii="Arial" w:hAnsi="Arial"/>
          <w:color w:val="000000"/>
          <w:sz w:val="18"/>
          <w:szCs w:val="20"/>
        </w:rPr>
        <w:t>mieszkalnym o powierzchni zabudowy około 30 m2, jednokondygnacyjnym, jednostronnie zwartym z sąsiednią zabudową. Budynek murowany w technologii tradycyjnej, w pełni podpiwniczony. Dach nad budynkiem w stanie technicznym bardzo złym, nastąpił częściowy zwał do wnętrza budynku. Ściany przyziemia oraz piwnic są zawilgocone, okresowo woda gruntowa napływa do piwnicy.</w:t>
      </w:r>
      <w:r w:rsidR="00E07510">
        <w:rPr>
          <w:rFonts w:ascii="Arial" w:hAnsi="Arial"/>
          <w:color w:val="000000"/>
          <w:sz w:val="18"/>
          <w:szCs w:val="20"/>
        </w:rPr>
        <w:t xml:space="preserve"> </w:t>
      </w:r>
      <w:r w:rsidR="00E07510" w:rsidRPr="00E07510">
        <w:rPr>
          <w:rFonts w:ascii="Arial" w:hAnsi="Arial"/>
          <w:color w:val="000000"/>
          <w:sz w:val="18"/>
          <w:szCs w:val="20"/>
        </w:rPr>
        <w:t xml:space="preserve">Funkcjonalność budynku niska. W budynku znajduje się jedna izba o pow. 22,05 m2. Brak przedpokoju i łazienki, do </w:t>
      </w:r>
      <w:proofErr w:type="spellStart"/>
      <w:r w:rsidR="00E07510" w:rsidRPr="00E07510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E07510" w:rsidRPr="00E07510">
        <w:rPr>
          <w:rFonts w:ascii="Arial" w:hAnsi="Arial"/>
          <w:color w:val="000000"/>
          <w:sz w:val="18"/>
          <w:szCs w:val="20"/>
        </w:rPr>
        <w:t xml:space="preserve"> przejście przez piwnicę. Wysokość piwnicy 1,99 m. Budynek wyposażony w instalację wodno-kanalizacyjną oraz elektryczną, brak ogrzewania. Stan techniczny budynku zły.</w:t>
      </w:r>
    </w:p>
    <w:p w14:paraId="4E4E7675" w14:textId="77777777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9F5010" w:rsidRPr="009F5010">
        <w:rPr>
          <w:rFonts w:ascii="Arial" w:hAnsi="Arial" w:cs="Arial"/>
          <w:b/>
          <w:color w:val="000000"/>
          <w:sz w:val="18"/>
          <w:szCs w:val="20"/>
        </w:rPr>
        <w:t>ZG1G/</w:t>
      </w:r>
      <w:r w:rsidR="00E07510">
        <w:rPr>
          <w:rFonts w:ascii="Arial" w:hAnsi="Arial" w:cs="Arial"/>
          <w:b/>
          <w:color w:val="000000"/>
          <w:sz w:val="18"/>
          <w:szCs w:val="20"/>
        </w:rPr>
        <w:t>00042045/1</w:t>
      </w:r>
    </w:p>
    <w:p w14:paraId="33234A89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6BEF300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52134B19" w14:textId="2800B785"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B023E2">
        <w:rPr>
          <w:rFonts w:ascii="Arial" w:hAnsi="Arial"/>
          <w:b/>
          <w:snapToGrid w:val="0"/>
          <w:color w:val="000000"/>
          <w:sz w:val="18"/>
          <w:szCs w:val="20"/>
        </w:rPr>
        <w:t>8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B023E2">
        <w:rPr>
          <w:rFonts w:ascii="Arial" w:hAnsi="Arial"/>
          <w:b/>
          <w:snapToGrid w:val="0"/>
          <w:color w:val="000000"/>
          <w:sz w:val="18"/>
          <w:szCs w:val="20"/>
        </w:rPr>
        <w:t>września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r. o godz. </w:t>
      </w:r>
      <w:r w:rsidR="00B023E2">
        <w:rPr>
          <w:rFonts w:ascii="Arial" w:hAnsi="Arial"/>
          <w:b/>
          <w:snapToGrid w:val="0"/>
          <w:color w:val="000000"/>
          <w:sz w:val="18"/>
          <w:szCs w:val="20"/>
        </w:rPr>
        <w:t>9</w:t>
      </w:r>
      <w:r w:rsidR="00E07510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3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14:paraId="4934D8F8" w14:textId="254AFB53"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B023E2">
        <w:rPr>
          <w:rFonts w:ascii="Arial" w:hAnsi="Arial"/>
          <w:b/>
          <w:snapToGrid w:val="0"/>
          <w:color w:val="000000"/>
          <w:sz w:val="18"/>
          <w:szCs w:val="20"/>
        </w:rPr>
        <w:t>4 września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>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14:paraId="0B748899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0A91BA5" w14:textId="03F3F82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9F5010">
        <w:rPr>
          <w:rFonts w:ascii="Arial" w:hAnsi="Arial"/>
          <w:snapToGrid w:val="0"/>
          <w:sz w:val="18"/>
          <w:szCs w:val="20"/>
        </w:rPr>
        <w:t>12 marca 2020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B023E2">
        <w:rPr>
          <w:rFonts w:ascii="Arial" w:hAnsi="Arial"/>
          <w:snapToGrid w:val="0"/>
          <w:sz w:val="18"/>
          <w:szCs w:val="20"/>
        </w:rPr>
        <w:t>Pierwszy przetarg na zbycie nieruchomości odbył się 26 maja 2020 r. i zakończył się wynikiem negatywnym.</w:t>
      </w:r>
    </w:p>
    <w:p w14:paraId="4296360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7A4518A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15D8D32F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3A2A6075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06C32CB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08964105" w14:textId="77777777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07491192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3BCB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1F3032"/>
    <w:rsid w:val="002D4290"/>
    <w:rsid w:val="002E5371"/>
    <w:rsid w:val="00365D4A"/>
    <w:rsid w:val="0037565E"/>
    <w:rsid w:val="00381F52"/>
    <w:rsid w:val="003A0AC8"/>
    <w:rsid w:val="00562E98"/>
    <w:rsid w:val="007804DB"/>
    <w:rsid w:val="00786808"/>
    <w:rsid w:val="009F5010"/>
    <w:rsid w:val="00B023E2"/>
    <w:rsid w:val="00B640FC"/>
    <w:rsid w:val="00B92793"/>
    <w:rsid w:val="00C37A8F"/>
    <w:rsid w:val="00E07510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883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2020-07-17T06:28:00Z</cp:lastPrinted>
  <dcterms:created xsi:type="dcterms:W3CDTF">2014-11-06T07:41:00Z</dcterms:created>
  <dcterms:modified xsi:type="dcterms:W3CDTF">2020-07-17T06:29:00Z</dcterms:modified>
</cp:coreProperties>
</file>