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54EA197" w:rsidR="001F3032" w:rsidRPr="00C37A8F" w:rsidRDefault="00FC60BF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D731FB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86CB888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4957E1" w:rsidRPr="004957E1">
        <w:rPr>
          <w:rFonts w:ascii="Arial" w:hAnsi="Arial" w:cs="Arial"/>
          <w:b/>
          <w:sz w:val="20"/>
          <w:szCs w:val="22"/>
        </w:rPr>
        <w:t>niezabudowan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nieruchomoś</w:t>
      </w:r>
      <w:r w:rsidR="004957E1">
        <w:rPr>
          <w:rFonts w:ascii="Arial" w:hAnsi="Arial" w:cs="Arial"/>
          <w:b/>
          <w:sz w:val="20"/>
          <w:szCs w:val="22"/>
        </w:rPr>
        <w:t>ć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gruntow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>, oznaczon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numerem ewidencyjnym 2210/5, o powierzchni 0,1981 ha, położon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przy ul. Joselewicza w Żaganiu, dla której prowadzona jest księga wieczysta ZG1G/00036149/5</w:t>
      </w:r>
    </w:p>
    <w:p w14:paraId="2E6B83EA" w14:textId="77777777" w:rsidR="00E86BB2" w:rsidRDefault="00E86BB2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1139293C" w14:textId="6818DD1D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E86BB2">
        <w:rPr>
          <w:rFonts w:ascii="Arial" w:hAnsi="Arial"/>
          <w:b/>
          <w:sz w:val="18"/>
          <w:szCs w:val="20"/>
        </w:rPr>
        <w:t>2</w:t>
      </w:r>
      <w:r w:rsidR="004957E1">
        <w:rPr>
          <w:rFonts w:ascii="Arial" w:hAnsi="Arial"/>
          <w:b/>
          <w:sz w:val="18"/>
          <w:szCs w:val="20"/>
        </w:rPr>
        <w:t>75</w:t>
      </w:r>
      <w:r w:rsidR="00E86BB2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56F623C8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86BB2">
        <w:rPr>
          <w:rFonts w:ascii="Arial" w:hAnsi="Arial" w:cs="Arial"/>
          <w:b/>
          <w:sz w:val="18"/>
          <w:szCs w:val="20"/>
        </w:rPr>
        <w:t>2</w:t>
      </w:r>
      <w:r w:rsidR="004957E1">
        <w:rPr>
          <w:rFonts w:ascii="Arial" w:hAnsi="Arial" w:cs="Arial"/>
          <w:b/>
          <w:sz w:val="18"/>
          <w:szCs w:val="20"/>
        </w:rPr>
        <w:t>7.500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00D47D38" w14:textId="6A473AC1" w:rsidR="00E86BB2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4957E1" w:rsidRPr="004957E1">
        <w:rPr>
          <w:rFonts w:ascii="Arial" w:hAnsi="Arial"/>
          <w:color w:val="000000"/>
          <w:sz w:val="18"/>
          <w:szCs w:val="20"/>
        </w:rPr>
        <w:t>Nieruchomość niezabudowana, na nieruchomości znajduje się budynek garażowy o powierzchni zabudowy około 16 m2, przeznaczony do wyburzenia. Teren nieruchomości płaski, kształt nieruchomości regularny – wielobok zbliżony do prostokąta.   Dojazd do nieruchomości bezpośredni – ul. Kolejową oraz ul. Fredry. Wykonanie wjazdu na nieruchomość, w porozumieniu z zarządcą dróg oraz poszanowaniem obowiązujących przepisów prawa należeć będzie do inwestora. W bezpośrednim sąsiedztwie zabudowa mieszkaniowa wielorodzinna, jednorodzinna, usługowa. W granicach nieruchomości, przy jej granicach znajdują się sieci uzbrojenia – wodna (woD250), elektryczna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eWA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), napowietrzna sieć elektryczna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eND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), gazowa, telekomunikacyjna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td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 oraz kanalizacyjna, stanowiąca przyłącze do budynku mieszkalnego ul. Joselewicza 2. Istnienie sieci uzbrojenia w nieruchomości należy uwzględnić w procesie inwestycyjnym, ponadto zostanie ustanowiona służebność zapewniająca dostęp do sieci kanalizacyjnej. Na nieruchomości znajdują się drzewa, których ewentualne wycięcie, z poszanowaniem obowiązujących przepisów prawa należeć będzie do inwestora.</w:t>
      </w:r>
    </w:p>
    <w:p w14:paraId="692D2EC4" w14:textId="77777777" w:rsidR="00830E76" w:rsidRDefault="00830E76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1A161A80" w14:textId="1DB97288" w:rsidR="00E86BB2" w:rsidRDefault="001F3032" w:rsidP="00E86BB2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4957E1" w:rsidRPr="004957E1">
        <w:rPr>
          <w:rFonts w:ascii="Arial" w:hAnsi="Arial" w:cs="Arial"/>
          <w:b/>
          <w:sz w:val="20"/>
          <w:szCs w:val="22"/>
        </w:rPr>
        <w:t>ZG1G/00036149/5</w:t>
      </w:r>
    </w:p>
    <w:p w14:paraId="6B017A9D" w14:textId="5911C742" w:rsidR="001F3032" w:rsidRPr="00C37A8F" w:rsidRDefault="001F3032" w:rsidP="00E86BB2">
      <w:pPr>
        <w:ind w:firstLine="708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18E6202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FC60BF">
        <w:rPr>
          <w:rFonts w:ascii="Arial" w:hAnsi="Arial"/>
          <w:b/>
          <w:snapToGrid w:val="0"/>
          <w:sz w:val="18"/>
          <w:szCs w:val="20"/>
        </w:rPr>
        <w:t>12 grudnia</w:t>
      </w:r>
      <w:r w:rsidR="006759DB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C60BF">
        <w:rPr>
          <w:rFonts w:ascii="Arial" w:hAnsi="Arial"/>
          <w:b/>
          <w:snapToGrid w:val="0"/>
          <w:sz w:val="18"/>
          <w:szCs w:val="20"/>
        </w:rPr>
        <w:t xml:space="preserve">09 </w:t>
      </w:r>
      <w:r w:rsidR="00FC60B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5B5512DC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FC60BF">
        <w:rPr>
          <w:rFonts w:ascii="Arial" w:hAnsi="Arial"/>
          <w:b/>
          <w:snapToGrid w:val="0"/>
          <w:sz w:val="18"/>
          <w:szCs w:val="20"/>
        </w:rPr>
        <w:t>6 grudnia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</w:t>
      </w:r>
      <w:r w:rsidR="006759DB">
        <w:rPr>
          <w:rFonts w:ascii="Arial" w:hAnsi="Arial"/>
          <w:b/>
          <w:snapToGrid w:val="0"/>
          <w:sz w:val="18"/>
          <w:szCs w:val="20"/>
        </w:rPr>
        <w:t>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4D1CF48B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E86BB2">
        <w:rPr>
          <w:rFonts w:ascii="Arial" w:hAnsi="Arial"/>
          <w:snapToGrid w:val="0"/>
          <w:sz w:val="18"/>
          <w:szCs w:val="20"/>
        </w:rPr>
        <w:t>18 sierpnia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FC60BF">
        <w:rPr>
          <w:rFonts w:ascii="Arial" w:hAnsi="Arial"/>
          <w:snapToGrid w:val="0"/>
          <w:sz w:val="18"/>
          <w:szCs w:val="20"/>
        </w:rPr>
        <w:t>Pierwszy przetarg na zbycie nieruchomości odbył się 27 września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390B93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="00FC60BF">
        <w:rPr>
          <w:rFonts w:ascii="Arial" w:hAnsi="Arial"/>
          <w:snapToGrid w:val="0"/>
          <w:sz w:val="18"/>
          <w:szCs w:val="20"/>
        </w:rPr>
        <w:t>Do ceny ustalonej w przetargu, doliczony zostanie podatek VAT.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2"/>
    <w:rsid w:val="000B359D"/>
    <w:rsid w:val="000C472D"/>
    <w:rsid w:val="001C7371"/>
    <w:rsid w:val="001F3032"/>
    <w:rsid w:val="002C4F22"/>
    <w:rsid w:val="002D4290"/>
    <w:rsid w:val="0037565E"/>
    <w:rsid w:val="00381F52"/>
    <w:rsid w:val="003A0AC8"/>
    <w:rsid w:val="0047795F"/>
    <w:rsid w:val="004957E1"/>
    <w:rsid w:val="00522AB8"/>
    <w:rsid w:val="00533366"/>
    <w:rsid w:val="00562E98"/>
    <w:rsid w:val="006759DB"/>
    <w:rsid w:val="00726415"/>
    <w:rsid w:val="00786808"/>
    <w:rsid w:val="00790CF7"/>
    <w:rsid w:val="007F7A26"/>
    <w:rsid w:val="00830E76"/>
    <w:rsid w:val="008A7840"/>
    <w:rsid w:val="008E1E25"/>
    <w:rsid w:val="009A6D99"/>
    <w:rsid w:val="009F5010"/>
    <w:rsid w:val="00A3641E"/>
    <w:rsid w:val="00B355DD"/>
    <w:rsid w:val="00B640FC"/>
    <w:rsid w:val="00B92793"/>
    <w:rsid w:val="00C37A8F"/>
    <w:rsid w:val="00D731FB"/>
    <w:rsid w:val="00E4414D"/>
    <w:rsid w:val="00E86BB2"/>
    <w:rsid w:val="00F166B6"/>
    <w:rsid w:val="00F572D3"/>
    <w:rsid w:val="00FC60BF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2023-11-06T08:05:00Z</cp:lastPrinted>
  <dcterms:created xsi:type="dcterms:W3CDTF">2023-08-21T06:37:00Z</dcterms:created>
  <dcterms:modified xsi:type="dcterms:W3CDTF">2023-11-06T08:05:00Z</dcterms:modified>
</cp:coreProperties>
</file>