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3641563F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="00BD5581">
        <w:rPr>
          <w:rFonts w:ascii="Arial" w:hAnsi="Arial" w:cs="Arial"/>
          <w:sz w:val="20"/>
          <w:szCs w:val="20"/>
        </w:rPr>
        <w:t>nie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>oznaczona numerem ewidencyjnym</w:t>
      </w:r>
      <w:r w:rsidR="00BD5581">
        <w:rPr>
          <w:rFonts w:ascii="Arial" w:hAnsi="Arial" w:cs="Arial"/>
          <w:sz w:val="20"/>
          <w:szCs w:val="20"/>
        </w:rPr>
        <w:t xml:space="preserve"> </w:t>
      </w:r>
      <w:r w:rsidR="002A2524" w:rsidRPr="002A2524">
        <w:rPr>
          <w:rFonts w:ascii="Arial" w:hAnsi="Arial" w:cs="Arial"/>
          <w:b/>
          <w:bCs/>
          <w:sz w:val="20"/>
          <w:szCs w:val="20"/>
        </w:rPr>
        <w:t>1122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BD5581">
        <w:rPr>
          <w:rFonts w:ascii="Arial" w:hAnsi="Arial" w:cs="Arial"/>
          <w:b/>
          <w:sz w:val="20"/>
          <w:szCs w:val="20"/>
        </w:rPr>
        <w:t>0,</w:t>
      </w:r>
      <w:r w:rsidR="00541E6B">
        <w:rPr>
          <w:rFonts w:ascii="Arial" w:hAnsi="Arial" w:cs="Arial"/>
          <w:b/>
          <w:sz w:val="20"/>
          <w:szCs w:val="20"/>
        </w:rPr>
        <w:t>2</w:t>
      </w:r>
      <w:r w:rsidR="002A2524">
        <w:rPr>
          <w:rFonts w:ascii="Arial" w:hAnsi="Arial" w:cs="Arial"/>
          <w:b/>
          <w:sz w:val="20"/>
          <w:szCs w:val="20"/>
        </w:rPr>
        <w:t>741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2A2524">
        <w:rPr>
          <w:rFonts w:ascii="Arial" w:hAnsi="Arial" w:cs="Arial"/>
          <w:sz w:val="20"/>
          <w:szCs w:val="20"/>
        </w:rPr>
        <w:t>Długiej</w:t>
      </w:r>
      <w:r w:rsidR="006508D4">
        <w:rPr>
          <w:rFonts w:ascii="Arial" w:hAnsi="Arial" w:cs="Arial"/>
          <w:sz w:val="20"/>
          <w:szCs w:val="20"/>
        </w:rPr>
        <w:t xml:space="preserve"> </w:t>
      </w:r>
      <w:r w:rsidRPr="00A03BBD">
        <w:rPr>
          <w:rFonts w:ascii="Arial" w:hAnsi="Arial" w:cs="Arial"/>
          <w:sz w:val="20"/>
          <w:szCs w:val="20"/>
        </w:rPr>
        <w:t>w Żaganiu.</w:t>
      </w:r>
    </w:p>
    <w:p w14:paraId="54D33658" w14:textId="51177E20"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2A2524">
        <w:rPr>
          <w:rFonts w:ascii="Arial" w:hAnsi="Arial" w:cs="Arial"/>
          <w:b/>
          <w:sz w:val="20"/>
          <w:szCs w:val="20"/>
        </w:rPr>
        <w:t>950.000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BF7D7EC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2A2524">
        <w:rPr>
          <w:rFonts w:ascii="Arial" w:hAnsi="Arial" w:cs="Arial"/>
          <w:b/>
          <w:sz w:val="20"/>
          <w:szCs w:val="20"/>
        </w:rPr>
        <w:t>95.000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24D8544B" w14:textId="12C0F083" w:rsidR="00C42E73" w:rsidRPr="00BD5581" w:rsidRDefault="009568A5" w:rsidP="00BD5581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2A2524" w:rsidRPr="002A2524">
        <w:rPr>
          <w:rFonts w:ascii="Arial" w:hAnsi="Arial"/>
          <w:color w:val="000000"/>
          <w:sz w:val="20"/>
          <w:szCs w:val="20"/>
        </w:rPr>
        <w:t>Niezabudowana nieruchomość gruntowa, położona w kwartale ulic Długiej, Brackiej i Keplera. Nieruchomość położona w strefie ścisłej ochrony konserwatorskiej – wszelkie prace inwestorskie wymagają uzgodnień z Konserwatorem Zabytków. Powierzchnia nieruchomości płaska. Dostęp do nieruchomości z ulic Długiej, Brackiej i Keplera – wymaga uzgodnienia i wykonania bezpośrednich zjazdów. W południowo zachodnim narożniku nieruchomości znajduje się linia gazowa, południowej, południowo wschodniej oraz północnej części nieruchomości znajduje się linia energetyczna, w północnej części nieruchomości, znajduje się linia wodna, których istnienie należy uwzględnić w procesie inwestycyjnym. W bezpośrednim sąsiedztwie nieruchomości znajduje się zabudowa mieszkaniowa wielorodzinna, usługowa, budynki użyteczności publicznej oraz skwery i tereny zielone.</w:t>
      </w:r>
      <w:r w:rsidR="002A2524">
        <w:rPr>
          <w:rFonts w:ascii="Arial" w:hAnsi="Arial"/>
          <w:color w:val="000000"/>
          <w:sz w:val="20"/>
          <w:szCs w:val="20"/>
        </w:rPr>
        <w:t xml:space="preserve"> </w:t>
      </w:r>
      <w:r w:rsidR="002A2524" w:rsidRPr="002A2524">
        <w:rPr>
          <w:rFonts w:ascii="Arial" w:hAnsi="Arial"/>
          <w:color w:val="000000"/>
          <w:sz w:val="20"/>
          <w:szCs w:val="20"/>
        </w:rPr>
        <w:t>Nieruchomość położona jest w obszarze obowiązywania miejscowego planu zagospodarowania przestrzennego przyjętego Uchwałą nr LVIII/92/2018  Rady Miasta Żagań z dnia 19 października 2018 r. i oznaczona jest symbolem MS3, oznaczającego tereny zabudowy mieszkaniowo-usługowej</w:t>
      </w:r>
      <w:r w:rsidR="002A2524">
        <w:rPr>
          <w:rFonts w:ascii="Arial" w:hAnsi="Arial"/>
          <w:color w:val="000000"/>
          <w:sz w:val="20"/>
          <w:szCs w:val="20"/>
        </w:rPr>
        <w:t>.</w:t>
      </w:r>
    </w:p>
    <w:p w14:paraId="1A268FEC" w14:textId="74B59F56"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2A2524" w:rsidRPr="002A2524">
        <w:rPr>
          <w:rFonts w:ascii="Arial" w:hAnsi="Arial" w:cs="Arial"/>
          <w:b/>
          <w:color w:val="000000"/>
          <w:sz w:val="20"/>
          <w:szCs w:val="20"/>
        </w:rPr>
        <w:t>ZG1G/00035983/6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46C1FEF" w14:textId="77777777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14:paraId="5311ED70" w14:textId="1DD304A9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2A2524">
        <w:rPr>
          <w:rFonts w:ascii="Arial" w:hAnsi="Arial" w:cs="Arial"/>
          <w:snapToGrid w:val="0"/>
          <w:sz w:val="20"/>
          <w:szCs w:val="20"/>
        </w:rPr>
        <w:t>1 czerwca</w:t>
      </w:r>
      <w:r w:rsidR="00541E6B">
        <w:rPr>
          <w:rFonts w:ascii="Arial" w:hAnsi="Arial" w:cs="Arial"/>
          <w:snapToGrid w:val="0"/>
          <w:sz w:val="20"/>
          <w:szCs w:val="20"/>
        </w:rPr>
        <w:t xml:space="preserve"> 2020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14:paraId="71CEC4D1" w14:textId="0880E280"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A252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17 listopada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. o godz. </w:t>
      </w:r>
      <w:r w:rsidR="002A252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9</w:t>
      </w:r>
      <w:r w:rsidR="00BD5581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</w:t>
      </w:r>
      <w:r w:rsidR="00541E6B">
        <w:rPr>
          <w:rFonts w:ascii="Arial" w:hAnsi="Arial" w:cs="Arial"/>
          <w:snapToGrid w:val="0"/>
          <w:color w:val="000000" w:themeColor="text1"/>
          <w:sz w:val="20"/>
          <w:szCs w:val="20"/>
        </w:rPr>
        <w:t>ul. Jana Pawła II 15, pokój nr 4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</w:t>
      </w:r>
      <w:r w:rsidR="00541E6B">
        <w:rPr>
          <w:rFonts w:ascii="Arial" w:hAnsi="Arial" w:cs="Arial"/>
          <w:snapToGrid w:val="0"/>
          <w:color w:val="000000"/>
          <w:sz w:val="20"/>
          <w:szCs w:val="20"/>
        </w:rPr>
        <w:t>sala konferencyjna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).</w:t>
      </w:r>
    </w:p>
    <w:p w14:paraId="24616BAE" w14:textId="0E20301B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2A252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13 listopada</w:t>
      </w:r>
      <w:r w:rsidR="00541E6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2020 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0EF9F620" w14:textId="77777777"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63DE74" w14:textId="77777777" w:rsidR="007D6FB3" w:rsidRPr="00A03BBD" w:rsidRDefault="00BD5581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Do ceny ustalonej w przetargu zostanie doliczony podatek VAT w wysokości 23%. </w:t>
      </w:r>
      <w:r w:rsidR="007D6FB3"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059BDCA" w14:textId="77777777"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DD2CA51" w14:textId="11987CF4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541E6B">
        <w:rPr>
          <w:rFonts w:ascii="Arial" w:hAnsi="Arial" w:cs="Arial"/>
          <w:snapToGrid w:val="0"/>
          <w:sz w:val="20"/>
          <w:szCs w:val="20"/>
        </w:rPr>
        <w:t>08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D606BB7" w14:textId="77777777"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2208BC"/>
    <w:rsid w:val="00220D4A"/>
    <w:rsid w:val="0023221F"/>
    <w:rsid w:val="002A2524"/>
    <w:rsid w:val="002F08F3"/>
    <w:rsid w:val="003F6D38"/>
    <w:rsid w:val="004954C9"/>
    <w:rsid w:val="004E1639"/>
    <w:rsid w:val="00523CCA"/>
    <w:rsid w:val="00531637"/>
    <w:rsid w:val="00541E6B"/>
    <w:rsid w:val="00637475"/>
    <w:rsid w:val="006508D4"/>
    <w:rsid w:val="006F25C0"/>
    <w:rsid w:val="007D6FB3"/>
    <w:rsid w:val="0080276C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5581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18</cp:revision>
  <cp:lastPrinted>2019-08-06T11:37:00Z</cp:lastPrinted>
  <dcterms:created xsi:type="dcterms:W3CDTF">2014-10-16T09:13:00Z</dcterms:created>
  <dcterms:modified xsi:type="dcterms:W3CDTF">2020-08-26T10:06:00Z</dcterms:modified>
</cp:coreProperties>
</file>