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608EAA8" w:rsidR="001F3032" w:rsidRPr="00C37A8F" w:rsidRDefault="003D1ED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0C4E15FA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EC183D">
        <w:rPr>
          <w:rFonts w:ascii="Arial" w:hAnsi="Arial"/>
          <w:b/>
          <w:sz w:val="18"/>
          <w:szCs w:val="20"/>
        </w:rPr>
        <w:t>317</w:t>
      </w:r>
      <w:r w:rsidR="00F37180">
        <w:rPr>
          <w:rFonts w:ascii="Arial" w:hAnsi="Arial"/>
          <w:b/>
          <w:sz w:val="18"/>
          <w:szCs w:val="20"/>
        </w:rPr>
        <w:t>.</w:t>
      </w:r>
      <w:r w:rsidR="00EC183D">
        <w:rPr>
          <w:rFonts w:ascii="Arial" w:hAnsi="Arial"/>
          <w:b/>
          <w:sz w:val="18"/>
          <w:szCs w:val="20"/>
        </w:rPr>
        <w:t>7</w:t>
      </w:r>
      <w:r w:rsidR="00F37180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9775F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C183D">
        <w:rPr>
          <w:rFonts w:ascii="Arial" w:hAnsi="Arial" w:cs="Arial"/>
          <w:b/>
          <w:sz w:val="18"/>
          <w:szCs w:val="20"/>
        </w:rPr>
        <w:t>31.770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8AA3DF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3D1EDE">
        <w:rPr>
          <w:rFonts w:ascii="Arial" w:hAnsi="Arial"/>
          <w:b/>
          <w:snapToGrid w:val="0"/>
          <w:sz w:val="18"/>
          <w:szCs w:val="20"/>
        </w:rPr>
        <w:t>25 kwietnia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C183D">
        <w:rPr>
          <w:rFonts w:ascii="Arial" w:hAnsi="Arial"/>
          <w:b/>
          <w:snapToGrid w:val="0"/>
          <w:sz w:val="18"/>
          <w:szCs w:val="20"/>
        </w:rPr>
        <w:t>1</w:t>
      </w:r>
      <w:r w:rsidR="003D1EDE">
        <w:rPr>
          <w:rFonts w:ascii="Arial" w:hAnsi="Arial"/>
          <w:b/>
          <w:snapToGrid w:val="0"/>
          <w:sz w:val="18"/>
          <w:szCs w:val="20"/>
        </w:rPr>
        <w:t>1</w:t>
      </w:r>
      <w:r w:rsidR="00EC183D">
        <w:rPr>
          <w:rFonts w:ascii="Arial" w:hAnsi="Arial"/>
          <w:b/>
          <w:snapToGrid w:val="0"/>
          <w:sz w:val="18"/>
          <w:szCs w:val="20"/>
        </w:rPr>
        <w:t>.30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2CBF7C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3D1EDE">
        <w:rPr>
          <w:rFonts w:ascii="Arial" w:hAnsi="Arial"/>
          <w:b/>
          <w:snapToGrid w:val="0"/>
          <w:sz w:val="18"/>
          <w:szCs w:val="20"/>
        </w:rPr>
        <w:t>19 kwietnia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A45822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05091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E752C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2023-03-20T07:32:00Z</cp:lastPrinted>
  <dcterms:created xsi:type="dcterms:W3CDTF">2014-11-06T07:41:00Z</dcterms:created>
  <dcterms:modified xsi:type="dcterms:W3CDTF">2023-03-20T13:55:00Z</dcterms:modified>
</cp:coreProperties>
</file>