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7D" w:rsidRPr="004C527D" w:rsidRDefault="004C527D" w:rsidP="004C527D">
      <w:pPr>
        <w:pStyle w:val="Nagwek7"/>
        <w:ind w:left="2124"/>
        <w:jc w:val="left"/>
        <w:rPr>
          <w:rFonts w:ascii="Arial" w:hAnsi="Arial"/>
          <w:sz w:val="20"/>
          <w:szCs w:val="20"/>
        </w:rPr>
      </w:pPr>
      <w:r w:rsidRPr="004C527D">
        <w:rPr>
          <w:rFonts w:ascii="Arial" w:hAnsi="Arial"/>
          <w:sz w:val="20"/>
          <w:szCs w:val="20"/>
        </w:rPr>
        <w:t xml:space="preserve">     </w:t>
      </w:r>
      <w:r w:rsidR="00CF6E55">
        <w:rPr>
          <w:rFonts w:ascii="Arial" w:hAnsi="Arial"/>
          <w:sz w:val="20"/>
          <w:szCs w:val="20"/>
        </w:rPr>
        <w:t xml:space="preserve">    </w:t>
      </w:r>
      <w:r w:rsidRPr="004C527D">
        <w:rPr>
          <w:rFonts w:ascii="Arial" w:hAnsi="Arial"/>
          <w:sz w:val="20"/>
          <w:szCs w:val="20"/>
        </w:rPr>
        <w:t>BURMISTRZ MIASTA ŻAGAŃ OGŁASZA</w:t>
      </w:r>
    </w:p>
    <w:p w:rsidR="004C527D" w:rsidRPr="004C527D" w:rsidRDefault="00F8569B" w:rsidP="004C527D">
      <w:pPr>
        <w:widowControl w:val="0"/>
        <w:jc w:val="center"/>
        <w:rPr>
          <w:rFonts w:ascii="Arial" w:hAnsi="Arial"/>
          <w:snapToGrid w:val="0"/>
          <w:sz w:val="20"/>
          <w:szCs w:val="20"/>
        </w:rPr>
      </w:pPr>
      <w:r>
        <w:rPr>
          <w:rFonts w:ascii="Arial" w:hAnsi="Arial"/>
          <w:b/>
          <w:snapToGrid w:val="0"/>
          <w:sz w:val="20"/>
          <w:szCs w:val="20"/>
        </w:rPr>
        <w:t>PIERWSZY</w:t>
      </w:r>
      <w:r w:rsidR="004C527D" w:rsidRPr="004C527D">
        <w:rPr>
          <w:rFonts w:ascii="Arial" w:hAnsi="Arial"/>
          <w:b/>
          <w:snapToGrid w:val="0"/>
          <w:sz w:val="20"/>
          <w:szCs w:val="20"/>
        </w:rPr>
        <w:t xml:space="preserve"> NIEOGRANICZONY PRZETARG USTNY</w:t>
      </w:r>
    </w:p>
    <w:p w:rsidR="004C527D" w:rsidRPr="004C527D" w:rsidRDefault="004C527D" w:rsidP="004C527D">
      <w:pPr>
        <w:widowControl w:val="0"/>
        <w:jc w:val="center"/>
        <w:rPr>
          <w:rFonts w:ascii="Arial" w:hAnsi="Arial"/>
          <w:b/>
          <w:snapToGrid w:val="0"/>
          <w:sz w:val="20"/>
          <w:szCs w:val="20"/>
        </w:rPr>
      </w:pPr>
      <w:r w:rsidRPr="004C527D">
        <w:rPr>
          <w:rFonts w:ascii="Arial" w:hAnsi="Arial"/>
          <w:b/>
          <w:snapToGrid w:val="0"/>
          <w:sz w:val="20"/>
          <w:szCs w:val="20"/>
        </w:rPr>
        <w:t>na sprzedaż komunalnej nieruchomości</w:t>
      </w:r>
    </w:p>
    <w:p w:rsidR="004C527D" w:rsidRPr="004C527D" w:rsidRDefault="004C527D" w:rsidP="004C527D">
      <w:pPr>
        <w:pStyle w:val="Tekstpodstawowy"/>
        <w:rPr>
          <w:rFonts w:ascii="Arial" w:hAnsi="Arial"/>
          <w:sz w:val="20"/>
          <w:szCs w:val="20"/>
        </w:rPr>
      </w:pPr>
    </w:p>
    <w:p w:rsidR="004C527D" w:rsidRPr="00245E83" w:rsidRDefault="004C527D" w:rsidP="004C527D">
      <w:pPr>
        <w:ind w:firstLine="709"/>
        <w:jc w:val="both"/>
        <w:rPr>
          <w:rFonts w:ascii="Arial" w:hAnsi="Arial"/>
          <w:sz w:val="20"/>
          <w:szCs w:val="20"/>
        </w:rPr>
      </w:pPr>
      <w:r w:rsidRPr="004C527D">
        <w:rPr>
          <w:rFonts w:ascii="Arial" w:hAnsi="Arial"/>
          <w:b/>
          <w:sz w:val="20"/>
          <w:szCs w:val="20"/>
        </w:rPr>
        <w:t>Nieruchomością wyznaczoną do sprz</w:t>
      </w:r>
      <w:r w:rsidR="00F8569B">
        <w:rPr>
          <w:rFonts w:ascii="Arial" w:hAnsi="Arial"/>
          <w:b/>
          <w:sz w:val="20"/>
          <w:szCs w:val="20"/>
        </w:rPr>
        <w:t xml:space="preserve">edaży na własność jest lokal </w:t>
      </w:r>
      <w:r w:rsidR="002B6422">
        <w:rPr>
          <w:rFonts w:ascii="Arial" w:hAnsi="Arial"/>
          <w:b/>
          <w:sz w:val="20"/>
          <w:szCs w:val="20"/>
        </w:rPr>
        <w:t>mieszkalny nr 1a</w:t>
      </w:r>
      <w:r w:rsidRPr="004C527D">
        <w:rPr>
          <w:rFonts w:ascii="Arial" w:hAnsi="Arial"/>
          <w:b/>
          <w:sz w:val="20"/>
          <w:szCs w:val="20"/>
        </w:rPr>
        <w:t>,</w:t>
      </w:r>
      <w:r w:rsidR="008F3A5E">
        <w:rPr>
          <w:rFonts w:ascii="Arial" w:hAnsi="Arial"/>
          <w:b/>
          <w:sz w:val="20"/>
          <w:szCs w:val="20"/>
        </w:rPr>
        <w:t xml:space="preserve"> </w:t>
      </w:r>
      <w:r w:rsidR="008F3A5E" w:rsidRPr="008F3A5E">
        <w:rPr>
          <w:rFonts w:ascii="Arial" w:hAnsi="Arial"/>
          <w:sz w:val="20"/>
          <w:szCs w:val="20"/>
        </w:rPr>
        <w:t xml:space="preserve">o powierzchni użytkowej </w:t>
      </w:r>
      <w:r w:rsidR="00F8569B">
        <w:rPr>
          <w:rFonts w:ascii="Arial" w:hAnsi="Arial"/>
          <w:b/>
          <w:sz w:val="20"/>
          <w:szCs w:val="20"/>
        </w:rPr>
        <w:t>14</w:t>
      </w:r>
      <w:r w:rsidR="008F3A5E" w:rsidRPr="008F3A5E">
        <w:rPr>
          <w:rFonts w:ascii="Arial" w:hAnsi="Arial"/>
          <w:b/>
          <w:sz w:val="20"/>
          <w:szCs w:val="20"/>
        </w:rPr>
        <w:t xml:space="preserve"> m</w:t>
      </w:r>
      <w:r w:rsidR="008F3A5E" w:rsidRPr="008F3A5E">
        <w:rPr>
          <w:rFonts w:ascii="Arial" w:hAnsi="Arial"/>
          <w:b/>
          <w:sz w:val="20"/>
          <w:szCs w:val="20"/>
          <w:vertAlign w:val="superscript"/>
        </w:rPr>
        <w:t>2</w:t>
      </w:r>
      <w:r w:rsidR="008F3A5E" w:rsidRPr="008F3A5E">
        <w:rPr>
          <w:rFonts w:ascii="Arial" w:hAnsi="Arial"/>
          <w:sz w:val="20"/>
          <w:szCs w:val="20"/>
        </w:rPr>
        <w:t>,</w:t>
      </w:r>
      <w:r w:rsidRPr="004C527D">
        <w:rPr>
          <w:rFonts w:ascii="Arial" w:hAnsi="Arial"/>
          <w:sz w:val="20"/>
          <w:szCs w:val="20"/>
        </w:rPr>
        <w:t xml:space="preserve"> wraz z udziałem </w:t>
      </w:r>
      <w:r w:rsidR="002B6422">
        <w:rPr>
          <w:rFonts w:ascii="Arial" w:hAnsi="Arial"/>
          <w:b/>
          <w:sz w:val="20"/>
          <w:szCs w:val="20"/>
        </w:rPr>
        <w:t>4</w:t>
      </w:r>
      <w:r w:rsidR="00F8569B">
        <w:rPr>
          <w:rFonts w:ascii="Arial" w:hAnsi="Arial"/>
          <w:b/>
          <w:sz w:val="20"/>
          <w:szCs w:val="20"/>
        </w:rPr>
        <w:t>/1</w:t>
      </w:r>
      <w:r w:rsidRPr="004C527D">
        <w:rPr>
          <w:rFonts w:ascii="Arial" w:hAnsi="Arial"/>
          <w:b/>
          <w:sz w:val="20"/>
          <w:szCs w:val="20"/>
        </w:rPr>
        <w:t>00</w:t>
      </w:r>
      <w:r w:rsidRPr="004C527D">
        <w:rPr>
          <w:rFonts w:ascii="Arial" w:hAnsi="Arial"/>
          <w:sz w:val="20"/>
          <w:szCs w:val="20"/>
        </w:rPr>
        <w:t xml:space="preserve"> w częściach wspólnych budynku oraz współwłasności gruntu oznaczonego jako działka nr </w:t>
      </w:r>
      <w:r w:rsidR="002B6422">
        <w:rPr>
          <w:rFonts w:ascii="Arial" w:hAnsi="Arial"/>
          <w:b/>
          <w:sz w:val="20"/>
          <w:szCs w:val="20"/>
        </w:rPr>
        <w:t>1067/1</w:t>
      </w:r>
      <w:r w:rsidRPr="004C527D">
        <w:rPr>
          <w:rFonts w:ascii="Arial" w:hAnsi="Arial"/>
          <w:sz w:val="20"/>
          <w:szCs w:val="20"/>
        </w:rPr>
        <w:t xml:space="preserve">, położonego w Żaganiu przy ul. </w:t>
      </w:r>
      <w:r w:rsidR="002B6422">
        <w:rPr>
          <w:rFonts w:ascii="Arial" w:hAnsi="Arial"/>
          <w:b/>
          <w:sz w:val="20"/>
          <w:szCs w:val="20"/>
        </w:rPr>
        <w:t>Brodatego 10</w:t>
      </w:r>
      <w:r w:rsidRPr="004C527D">
        <w:rPr>
          <w:rFonts w:ascii="Arial" w:hAnsi="Arial"/>
          <w:sz w:val="20"/>
          <w:szCs w:val="20"/>
        </w:rPr>
        <w:t>.</w:t>
      </w:r>
    </w:p>
    <w:p w:rsidR="004C527D" w:rsidRPr="00245E83" w:rsidRDefault="00A0048D" w:rsidP="004C527D">
      <w:pPr>
        <w:spacing w:before="80" w:after="80"/>
        <w:ind w:firstLine="709"/>
        <w:jc w:val="center"/>
        <w:rPr>
          <w:rFonts w:ascii="Arial" w:hAnsi="Arial"/>
          <w:b/>
          <w:sz w:val="20"/>
          <w:szCs w:val="20"/>
        </w:rPr>
      </w:pPr>
      <w:r w:rsidRPr="00245E83">
        <w:rPr>
          <w:rFonts w:ascii="Arial" w:hAnsi="Arial"/>
          <w:b/>
          <w:sz w:val="20"/>
          <w:szCs w:val="20"/>
        </w:rPr>
        <w:t xml:space="preserve">Cena nieruchomości   </w:t>
      </w:r>
      <w:r w:rsidR="002B6422">
        <w:rPr>
          <w:rFonts w:ascii="Arial" w:hAnsi="Arial"/>
          <w:b/>
          <w:sz w:val="20"/>
          <w:szCs w:val="20"/>
        </w:rPr>
        <w:t>13</w:t>
      </w:r>
      <w:r w:rsidR="00D91E01" w:rsidRPr="00245E83">
        <w:rPr>
          <w:rFonts w:ascii="Arial" w:hAnsi="Arial"/>
          <w:b/>
          <w:sz w:val="20"/>
          <w:szCs w:val="20"/>
        </w:rPr>
        <w:t>.</w:t>
      </w:r>
      <w:r w:rsidR="004C527D" w:rsidRPr="00245E83">
        <w:rPr>
          <w:rFonts w:ascii="Arial" w:hAnsi="Arial"/>
          <w:b/>
          <w:sz w:val="20"/>
          <w:szCs w:val="20"/>
        </w:rPr>
        <w:t>000</w:t>
      </w:r>
      <w:r w:rsidR="00F8569B">
        <w:rPr>
          <w:rFonts w:ascii="Arial" w:hAnsi="Arial"/>
          <w:b/>
          <w:sz w:val="20"/>
          <w:szCs w:val="20"/>
        </w:rPr>
        <w:t>,00</w:t>
      </w:r>
      <w:r w:rsidR="004C527D" w:rsidRPr="00245E83">
        <w:rPr>
          <w:rFonts w:ascii="Arial" w:hAnsi="Arial"/>
          <w:b/>
          <w:sz w:val="20"/>
          <w:szCs w:val="20"/>
        </w:rPr>
        <w:t xml:space="preserve"> zł   i jest to cena wywoławcza</w:t>
      </w:r>
    </w:p>
    <w:p w:rsidR="004C527D" w:rsidRPr="004C527D" w:rsidRDefault="004C527D" w:rsidP="004C527D">
      <w:pPr>
        <w:spacing w:before="80" w:after="80"/>
        <w:ind w:firstLine="709"/>
        <w:rPr>
          <w:rFonts w:ascii="Arial" w:hAnsi="Arial" w:cs="Arial"/>
          <w:sz w:val="20"/>
          <w:szCs w:val="20"/>
        </w:rPr>
      </w:pPr>
      <w:r w:rsidRPr="00245E83">
        <w:rPr>
          <w:rFonts w:ascii="Arial" w:hAnsi="Arial" w:cs="Arial"/>
          <w:b/>
          <w:sz w:val="20"/>
          <w:szCs w:val="20"/>
        </w:rPr>
        <w:t xml:space="preserve">                                                          W</w:t>
      </w:r>
      <w:r w:rsidR="00F8569B">
        <w:rPr>
          <w:rFonts w:ascii="Arial" w:hAnsi="Arial" w:cs="Arial"/>
          <w:b/>
          <w:sz w:val="20"/>
          <w:szCs w:val="20"/>
        </w:rPr>
        <w:t xml:space="preserve">adium </w:t>
      </w:r>
      <w:r w:rsidR="002B6422">
        <w:rPr>
          <w:rFonts w:ascii="Arial" w:hAnsi="Arial" w:cs="Arial"/>
          <w:b/>
          <w:sz w:val="20"/>
          <w:szCs w:val="20"/>
        </w:rPr>
        <w:t>2.600</w:t>
      </w:r>
      <w:r w:rsidR="00F8569B">
        <w:rPr>
          <w:rFonts w:ascii="Arial" w:hAnsi="Arial" w:cs="Arial"/>
          <w:b/>
          <w:sz w:val="20"/>
          <w:szCs w:val="20"/>
        </w:rPr>
        <w:t>,00</w:t>
      </w:r>
      <w:r w:rsidRPr="004C527D">
        <w:rPr>
          <w:rFonts w:ascii="Arial" w:hAnsi="Arial" w:cs="Arial"/>
          <w:b/>
          <w:sz w:val="20"/>
          <w:szCs w:val="20"/>
        </w:rPr>
        <w:t xml:space="preserve"> zł.</w:t>
      </w:r>
    </w:p>
    <w:p w:rsidR="004C527D" w:rsidRPr="00F8569B" w:rsidRDefault="004C527D" w:rsidP="004C527D">
      <w:pPr>
        <w:jc w:val="both"/>
        <w:rPr>
          <w:rFonts w:ascii="Arial" w:hAnsi="Arial" w:cs="Arial"/>
          <w:color w:val="000000"/>
          <w:sz w:val="20"/>
          <w:szCs w:val="20"/>
        </w:rPr>
      </w:pPr>
      <w:r w:rsidRPr="00F8569B">
        <w:rPr>
          <w:rFonts w:ascii="Arial" w:hAnsi="Arial" w:cs="Arial"/>
          <w:sz w:val="20"/>
          <w:szCs w:val="20"/>
        </w:rPr>
        <w:t xml:space="preserve">Opis nieruchomości: </w:t>
      </w:r>
      <w:r w:rsidR="002B6422" w:rsidRPr="002151C4">
        <w:rPr>
          <w:rFonts w:ascii="Arial" w:hAnsi="Arial"/>
          <w:color w:val="000000"/>
          <w:sz w:val="22"/>
          <w:szCs w:val="22"/>
        </w:rPr>
        <w:t xml:space="preserve">Lokal użytkowy położony w budynku mieszkalnym z 3 lokalami mieszkalnymi i jednym użytkowym. Budynek wybudowany został przed 1939 r. w technologii tradycyjnej trwałej. Budynek II kondygnacyjny, z poddaszem użytkowym, w całości podpiwniczony. Ściany z cegły ceramicznej pełnej, stropy drewniane, nad piwnicami trwałe, schody drewniane, dach krokwiowy, kryty dachówką ceramiczną. Lokal położony jest na pierwszym piętrze budynku, stolarka okienna PCV, drzwi wejściowe drewniane wyeksploatowane, podłogi drewniane z panelami drewnopodobnymi. Instalacje w lokalu: elektryczna, brak ogrzewania, instalacji </w:t>
      </w:r>
      <w:proofErr w:type="spellStart"/>
      <w:r w:rsidR="002B6422" w:rsidRPr="002151C4">
        <w:rPr>
          <w:rFonts w:ascii="Arial" w:hAnsi="Arial"/>
          <w:color w:val="000000"/>
          <w:sz w:val="22"/>
          <w:szCs w:val="22"/>
        </w:rPr>
        <w:t>wod-kan</w:t>
      </w:r>
      <w:proofErr w:type="spellEnd"/>
      <w:r w:rsidR="002B6422" w:rsidRPr="002151C4">
        <w:rPr>
          <w:rFonts w:ascii="Arial" w:hAnsi="Arial"/>
          <w:color w:val="000000"/>
          <w:sz w:val="22"/>
          <w:szCs w:val="22"/>
        </w:rPr>
        <w:t>, bez dostępu do sanitariatów. Lokal o niskiej funkcjonalności i niskim standardzie.</w:t>
      </w:r>
    </w:p>
    <w:p w:rsidR="004C527D" w:rsidRPr="004C527D" w:rsidRDefault="004C527D" w:rsidP="004C527D">
      <w:pPr>
        <w:widowControl w:val="0"/>
        <w:spacing w:before="120" w:after="120"/>
        <w:ind w:firstLine="709"/>
        <w:jc w:val="both"/>
        <w:rPr>
          <w:rFonts w:ascii="Arial" w:hAnsi="Arial" w:cs="Arial"/>
          <w:color w:val="000000"/>
          <w:sz w:val="20"/>
          <w:szCs w:val="20"/>
        </w:rPr>
      </w:pPr>
      <w:r w:rsidRPr="004C527D">
        <w:rPr>
          <w:rFonts w:ascii="Arial" w:hAnsi="Arial" w:cs="Arial"/>
          <w:color w:val="000000"/>
          <w:sz w:val="20"/>
          <w:szCs w:val="20"/>
        </w:rPr>
        <w:t xml:space="preserve">Nieruchomość wpisana w jest w księdze wieczystej </w:t>
      </w:r>
      <w:proofErr w:type="spellStart"/>
      <w:r w:rsidR="00F8569B">
        <w:rPr>
          <w:rFonts w:ascii="Arial" w:hAnsi="Arial" w:cs="Arial"/>
          <w:b/>
          <w:color w:val="000000"/>
          <w:sz w:val="20"/>
          <w:szCs w:val="20"/>
        </w:rPr>
        <w:t>Kw</w:t>
      </w:r>
      <w:proofErr w:type="spellEnd"/>
      <w:r w:rsidR="00F8569B">
        <w:rPr>
          <w:rFonts w:ascii="Arial" w:hAnsi="Arial" w:cs="Arial"/>
          <w:b/>
          <w:color w:val="000000"/>
          <w:sz w:val="20"/>
          <w:szCs w:val="20"/>
        </w:rPr>
        <w:t xml:space="preserve"> Nr ZG1G/000</w:t>
      </w:r>
      <w:r w:rsidR="002B6422">
        <w:rPr>
          <w:rFonts w:ascii="Arial" w:hAnsi="Arial" w:cs="Arial"/>
          <w:b/>
          <w:color w:val="000000"/>
          <w:sz w:val="20"/>
          <w:szCs w:val="20"/>
        </w:rPr>
        <w:t>34566/0</w:t>
      </w:r>
      <w:r w:rsidRPr="004C527D">
        <w:rPr>
          <w:rFonts w:ascii="Arial" w:hAnsi="Arial" w:cs="Arial"/>
          <w:color w:val="000000"/>
          <w:sz w:val="20"/>
          <w:szCs w:val="20"/>
        </w:rPr>
        <w:t>.</w:t>
      </w:r>
    </w:p>
    <w:p w:rsidR="004C527D" w:rsidRPr="004C527D" w:rsidRDefault="004C527D" w:rsidP="004C527D">
      <w:pPr>
        <w:widowControl w:val="0"/>
        <w:spacing w:after="120"/>
        <w:ind w:firstLine="709"/>
        <w:jc w:val="both"/>
        <w:rPr>
          <w:rFonts w:ascii="Arial" w:hAnsi="Arial"/>
          <w:b/>
          <w:color w:val="000000"/>
          <w:sz w:val="20"/>
          <w:szCs w:val="20"/>
        </w:rPr>
      </w:pPr>
      <w:r w:rsidRPr="004C527D">
        <w:rPr>
          <w:rFonts w:ascii="Arial" w:hAnsi="Arial"/>
          <w:color w:val="000000"/>
          <w:sz w:val="20"/>
          <w:szCs w:val="20"/>
        </w:rPr>
        <w:t>Obciążenia i zobowiązania ciążące na nieruchomościach–</w:t>
      </w:r>
      <w:r w:rsidRPr="004C527D">
        <w:rPr>
          <w:rFonts w:ascii="Arial" w:hAnsi="Arial"/>
          <w:b/>
          <w:color w:val="000000"/>
          <w:sz w:val="20"/>
          <w:szCs w:val="20"/>
        </w:rPr>
        <w:t xml:space="preserve"> </w:t>
      </w:r>
      <w:r w:rsidR="00F8569B">
        <w:rPr>
          <w:rFonts w:ascii="Arial" w:hAnsi="Arial"/>
          <w:b/>
          <w:sz w:val="20"/>
          <w:szCs w:val="20"/>
        </w:rPr>
        <w:t>brak.</w:t>
      </w:r>
    </w:p>
    <w:p w:rsidR="004C527D" w:rsidRPr="004C527D" w:rsidRDefault="004C527D" w:rsidP="004C527D">
      <w:pPr>
        <w:widowControl w:val="0"/>
        <w:spacing w:after="120"/>
        <w:ind w:firstLine="709"/>
        <w:jc w:val="both"/>
        <w:rPr>
          <w:rFonts w:ascii="Arial" w:hAnsi="Arial"/>
          <w:color w:val="000000"/>
          <w:sz w:val="20"/>
          <w:szCs w:val="20"/>
        </w:rPr>
      </w:pPr>
      <w:r w:rsidRPr="004C527D">
        <w:rPr>
          <w:rFonts w:ascii="Arial" w:hAnsi="Arial"/>
          <w:color w:val="000000"/>
          <w:sz w:val="20"/>
          <w:szCs w:val="20"/>
        </w:rPr>
        <w:t xml:space="preserve">Termin zagospodarowania nieruchomości – </w:t>
      </w:r>
      <w:r w:rsidRPr="004C527D">
        <w:rPr>
          <w:rFonts w:ascii="Arial" w:hAnsi="Arial"/>
          <w:b/>
          <w:color w:val="000000"/>
          <w:sz w:val="20"/>
          <w:szCs w:val="20"/>
        </w:rPr>
        <w:t>Nie dotyczy</w:t>
      </w:r>
      <w:r w:rsidRPr="004C527D">
        <w:rPr>
          <w:rFonts w:ascii="Arial" w:hAnsi="Arial"/>
          <w:color w:val="000000"/>
          <w:sz w:val="20"/>
          <w:szCs w:val="20"/>
        </w:rPr>
        <w:t>.</w:t>
      </w:r>
    </w:p>
    <w:p w:rsidR="004C527D" w:rsidRPr="004C527D" w:rsidRDefault="004C527D" w:rsidP="004C527D">
      <w:pPr>
        <w:widowControl w:val="0"/>
        <w:spacing w:before="60"/>
        <w:ind w:firstLine="709"/>
        <w:jc w:val="both"/>
        <w:rPr>
          <w:rFonts w:ascii="Arial" w:hAnsi="Arial"/>
          <w:snapToGrid w:val="0"/>
          <w:color w:val="000000"/>
          <w:sz w:val="20"/>
          <w:szCs w:val="20"/>
        </w:rPr>
      </w:pPr>
      <w:r w:rsidRPr="004C527D">
        <w:rPr>
          <w:rFonts w:ascii="Arial" w:hAnsi="Arial"/>
          <w:snapToGrid w:val="0"/>
          <w:color w:val="000000"/>
          <w:sz w:val="20"/>
          <w:szCs w:val="20"/>
        </w:rPr>
        <w:t xml:space="preserve">Przetarg na w/w nieruchomości odbędzie się w </w:t>
      </w:r>
      <w:r w:rsidRPr="00C402DA">
        <w:rPr>
          <w:rFonts w:ascii="Arial" w:hAnsi="Arial"/>
          <w:snapToGrid w:val="0"/>
          <w:sz w:val="20"/>
          <w:szCs w:val="20"/>
        </w:rPr>
        <w:t xml:space="preserve">dniu </w:t>
      </w:r>
      <w:r w:rsidR="00F8569B">
        <w:rPr>
          <w:rFonts w:ascii="Arial" w:hAnsi="Arial"/>
          <w:b/>
          <w:snapToGrid w:val="0"/>
          <w:sz w:val="20"/>
          <w:szCs w:val="20"/>
        </w:rPr>
        <w:t>14 lutego 2017</w:t>
      </w:r>
      <w:r w:rsidRPr="00C402DA">
        <w:rPr>
          <w:rFonts w:ascii="Arial" w:hAnsi="Arial"/>
          <w:b/>
          <w:snapToGrid w:val="0"/>
          <w:sz w:val="20"/>
          <w:szCs w:val="20"/>
        </w:rPr>
        <w:t xml:space="preserve"> r. o godz. </w:t>
      </w:r>
      <w:r w:rsidR="00F8569B">
        <w:rPr>
          <w:rFonts w:ascii="Arial" w:hAnsi="Arial"/>
          <w:b/>
          <w:snapToGrid w:val="0"/>
          <w:sz w:val="20"/>
          <w:szCs w:val="20"/>
        </w:rPr>
        <w:t>13</w:t>
      </w:r>
      <w:r w:rsidR="002B6422">
        <w:rPr>
          <w:rFonts w:ascii="Arial" w:hAnsi="Arial"/>
          <w:b/>
          <w:snapToGrid w:val="0"/>
          <w:sz w:val="20"/>
          <w:szCs w:val="20"/>
        </w:rPr>
        <w:t>.3</w:t>
      </w:r>
      <w:bookmarkStart w:id="0" w:name="_GoBack"/>
      <w:bookmarkEnd w:id="0"/>
      <w:r w:rsidR="0070490A">
        <w:rPr>
          <w:rFonts w:ascii="Arial" w:hAnsi="Arial"/>
          <w:b/>
          <w:snapToGrid w:val="0"/>
          <w:sz w:val="20"/>
          <w:szCs w:val="20"/>
        </w:rPr>
        <w:t>0</w:t>
      </w:r>
      <w:r w:rsidRPr="004C527D">
        <w:rPr>
          <w:rFonts w:ascii="Arial" w:hAnsi="Arial"/>
          <w:snapToGrid w:val="0"/>
          <w:color w:val="000000"/>
          <w:sz w:val="20"/>
          <w:szCs w:val="20"/>
        </w:rPr>
        <w:t xml:space="preserve"> w siedzibie Urzędu Miasta Żagań Pl. Słowiański 17 pokój nr 13 (I piętro).</w:t>
      </w:r>
    </w:p>
    <w:p w:rsidR="004C527D" w:rsidRPr="004C527D" w:rsidRDefault="004C527D" w:rsidP="004C527D">
      <w:pPr>
        <w:widowControl w:val="0"/>
        <w:spacing w:before="60"/>
        <w:ind w:firstLine="709"/>
        <w:jc w:val="both"/>
        <w:rPr>
          <w:rFonts w:ascii="Arial" w:hAnsi="Arial"/>
          <w:b/>
          <w:snapToGrid w:val="0"/>
          <w:color w:val="000000"/>
          <w:sz w:val="20"/>
          <w:szCs w:val="20"/>
        </w:rPr>
      </w:pPr>
      <w:r w:rsidRPr="004C527D">
        <w:rPr>
          <w:rFonts w:ascii="Arial" w:hAnsi="Arial"/>
          <w:snapToGrid w:val="0"/>
          <w:color w:val="000000"/>
          <w:sz w:val="20"/>
          <w:szCs w:val="20"/>
        </w:rPr>
        <w:t xml:space="preserve">Wadium w podanej powyżej wysokościach należy wnosić w kasie Urzędu Miasta Żagań lub na konto BZ WBK S.A. O/Żagań 39 10902558-0000000640000101 </w:t>
      </w:r>
      <w:r w:rsidRPr="004C527D">
        <w:rPr>
          <w:rFonts w:ascii="Arial" w:hAnsi="Arial"/>
          <w:b/>
          <w:snapToGrid w:val="0"/>
          <w:color w:val="000000"/>
          <w:sz w:val="20"/>
          <w:szCs w:val="20"/>
        </w:rPr>
        <w:t xml:space="preserve">do dnia </w:t>
      </w:r>
      <w:r w:rsidR="00F8569B">
        <w:rPr>
          <w:rFonts w:ascii="Arial" w:hAnsi="Arial"/>
          <w:b/>
          <w:snapToGrid w:val="0"/>
          <w:color w:val="000000"/>
          <w:sz w:val="20"/>
          <w:szCs w:val="20"/>
        </w:rPr>
        <w:t>10 lutego 2017</w:t>
      </w:r>
      <w:r w:rsidRPr="004C527D">
        <w:rPr>
          <w:rFonts w:ascii="Arial" w:hAnsi="Arial"/>
          <w:b/>
          <w:snapToGrid w:val="0"/>
          <w:color w:val="000000"/>
          <w:sz w:val="20"/>
          <w:szCs w:val="20"/>
        </w:rPr>
        <w:t xml:space="preserve"> r</w:t>
      </w:r>
      <w:r w:rsidRPr="004C527D">
        <w:rPr>
          <w:rFonts w:ascii="Arial" w:hAnsi="Arial"/>
          <w:snapToGrid w:val="0"/>
          <w:color w:val="000000"/>
          <w:sz w:val="20"/>
          <w:szCs w:val="20"/>
        </w:rPr>
        <w:t>.</w:t>
      </w:r>
    </w:p>
    <w:p w:rsidR="004C527D" w:rsidRPr="004C527D" w:rsidRDefault="004C527D" w:rsidP="004C527D">
      <w:pPr>
        <w:widowControl w:val="0"/>
        <w:spacing w:before="60" w:after="60"/>
        <w:ind w:firstLine="709"/>
        <w:jc w:val="both"/>
        <w:rPr>
          <w:rFonts w:ascii="Arial" w:hAnsi="Arial"/>
          <w:b/>
          <w:snapToGrid w:val="0"/>
          <w:color w:val="000000"/>
          <w:sz w:val="20"/>
          <w:szCs w:val="20"/>
        </w:rPr>
      </w:pPr>
      <w:r w:rsidRPr="004C527D">
        <w:rPr>
          <w:rFonts w:ascii="Arial" w:hAnsi="Arial"/>
          <w:b/>
          <w:snapToGrid w:val="0"/>
          <w:color w:val="000000"/>
          <w:sz w:val="20"/>
          <w:szCs w:val="20"/>
        </w:rPr>
        <w:t>Uwaga! Wadium powinno wpłynąć na konto w wyznaczonym terminie.</w:t>
      </w:r>
    </w:p>
    <w:p w:rsidR="00F8569B" w:rsidRDefault="004C527D" w:rsidP="004C527D">
      <w:pPr>
        <w:ind w:firstLine="709"/>
        <w:jc w:val="both"/>
        <w:rPr>
          <w:rFonts w:ascii="Arial" w:hAnsi="Arial"/>
          <w:snapToGrid w:val="0"/>
          <w:sz w:val="20"/>
          <w:szCs w:val="20"/>
        </w:rPr>
      </w:pPr>
      <w:r w:rsidRPr="004C527D">
        <w:rPr>
          <w:rFonts w:ascii="Arial" w:hAnsi="Arial"/>
          <w:snapToGrid w:val="0"/>
          <w:sz w:val="20"/>
          <w:szCs w:val="20"/>
        </w:rPr>
        <w:t xml:space="preserve">Wnioski o pierwszeństwo w nabyciu nieruchomości można było składać do </w:t>
      </w:r>
      <w:r w:rsidR="00F8569B">
        <w:rPr>
          <w:rFonts w:ascii="Arial" w:hAnsi="Arial"/>
          <w:snapToGrid w:val="0"/>
          <w:sz w:val="20"/>
          <w:szCs w:val="20"/>
        </w:rPr>
        <w:t>28 listopada</w:t>
      </w:r>
      <w:r w:rsidR="00934FAD">
        <w:rPr>
          <w:rFonts w:ascii="Arial" w:hAnsi="Arial"/>
          <w:snapToGrid w:val="0"/>
          <w:sz w:val="20"/>
          <w:szCs w:val="20"/>
        </w:rPr>
        <w:t xml:space="preserve"> 2016 </w:t>
      </w:r>
      <w:r w:rsidRPr="004C527D">
        <w:rPr>
          <w:rFonts w:ascii="Arial" w:hAnsi="Arial"/>
          <w:snapToGrid w:val="0"/>
          <w:sz w:val="20"/>
          <w:szCs w:val="20"/>
        </w:rPr>
        <w:t>r. Wnioski mogły składać osoby, którym przysługiwało pierwszeństwo w nabyciu nieruchomości na podstawie art. 34 ust. 1 pkt 1 i pkt 2 Ustawy o gospodarowaniu nieruchomościami.</w:t>
      </w:r>
      <w:r w:rsidR="0070490A">
        <w:rPr>
          <w:rFonts w:ascii="Arial" w:hAnsi="Arial"/>
          <w:snapToGrid w:val="0"/>
          <w:sz w:val="20"/>
          <w:szCs w:val="20"/>
        </w:rPr>
        <w:t xml:space="preserve"> </w:t>
      </w:r>
    </w:p>
    <w:p w:rsidR="00F8569B" w:rsidRDefault="00F8569B" w:rsidP="004C527D">
      <w:pPr>
        <w:ind w:firstLine="709"/>
        <w:jc w:val="both"/>
        <w:rPr>
          <w:rFonts w:ascii="Arial" w:hAnsi="Arial"/>
          <w:snapToGrid w:val="0"/>
          <w:sz w:val="20"/>
          <w:szCs w:val="20"/>
        </w:rPr>
      </w:pPr>
    </w:p>
    <w:p w:rsidR="004C527D" w:rsidRPr="004C527D" w:rsidRDefault="004C527D" w:rsidP="004C527D">
      <w:pPr>
        <w:ind w:firstLine="709"/>
        <w:jc w:val="both"/>
        <w:rPr>
          <w:rFonts w:ascii="Arial" w:hAnsi="Arial"/>
          <w:snapToGrid w:val="0"/>
          <w:sz w:val="20"/>
          <w:szCs w:val="20"/>
        </w:rPr>
      </w:pPr>
      <w:r w:rsidRPr="004C527D">
        <w:rPr>
          <w:rFonts w:ascii="Arial" w:hAnsi="Arial"/>
          <w:snapToGrid w:val="0"/>
          <w:sz w:val="20"/>
          <w:szCs w:val="20"/>
        </w:rPr>
        <w:t xml:space="preserve">Wadium zostanie zaliczone na poczet ceny nabycia nieruchomości. Pozostały uczestnikom postępowania wadium zwraca się nie później niż przed upływem trzech dni od dnia przetargu. Należność ustalona w przetargu winna być wniesiona najpóźniej przed zawarciem umowy notarialnej. </w:t>
      </w:r>
      <w:r w:rsidRPr="004C527D">
        <w:rPr>
          <w:rFonts w:ascii="Arial" w:hAnsi="Arial"/>
          <w:snapToGrid w:val="0"/>
          <w:sz w:val="20"/>
          <w:szCs w:val="20"/>
          <w:u w:val="single"/>
        </w:rPr>
        <w:t>W razie uchybienia się ustalonego w przetargu nabywcy od zawarcia umowy notarialnej wadium nie będzie podlegać zwrotowi, a przetarg uważać się będzie za niebyły.</w:t>
      </w:r>
      <w:r w:rsidRPr="004C527D">
        <w:rPr>
          <w:rFonts w:ascii="Arial" w:hAnsi="Arial"/>
          <w:snapToGrid w:val="0"/>
          <w:sz w:val="20"/>
          <w:szCs w:val="20"/>
        </w:rPr>
        <w:t xml:space="preserve"> </w:t>
      </w:r>
    </w:p>
    <w:p w:rsidR="004C527D" w:rsidRPr="004C527D" w:rsidRDefault="004C527D" w:rsidP="004C527D">
      <w:pPr>
        <w:ind w:firstLine="709"/>
        <w:jc w:val="both"/>
        <w:rPr>
          <w:rFonts w:ascii="Arial" w:hAnsi="Arial"/>
          <w:sz w:val="20"/>
          <w:szCs w:val="20"/>
        </w:rPr>
      </w:pPr>
    </w:p>
    <w:p w:rsidR="004C527D" w:rsidRPr="004C527D" w:rsidRDefault="004C527D" w:rsidP="004C527D">
      <w:pPr>
        <w:ind w:firstLine="709"/>
        <w:jc w:val="both"/>
        <w:rPr>
          <w:rFonts w:ascii="Arial" w:hAnsi="Arial"/>
          <w:sz w:val="20"/>
          <w:szCs w:val="20"/>
        </w:rPr>
      </w:pPr>
      <w:r w:rsidRPr="004C527D">
        <w:rPr>
          <w:rFonts w:ascii="Arial" w:hAnsi="Arial"/>
          <w:sz w:val="20"/>
          <w:szCs w:val="20"/>
        </w:rPr>
        <w:t>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 Ponadto osoby uczestniczące w przetargu winny dysponować dowodem osobistym (swoim i małżonka), aktualny wypis z KRS lub zaświadczenie z ewidencji działalności gospodarczej lub z innego właściwego rejestru, nr NIP (dotyczy osób prawnych), które będą niezbędne do wypełnienia oświadczeń.</w:t>
      </w:r>
    </w:p>
    <w:p w:rsidR="004C527D" w:rsidRPr="004C527D" w:rsidRDefault="004C527D" w:rsidP="004C527D">
      <w:pPr>
        <w:ind w:firstLine="709"/>
        <w:jc w:val="both"/>
        <w:rPr>
          <w:rFonts w:ascii="Arial" w:hAnsi="Arial"/>
          <w:snapToGrid w:val="0"/>
          <w:sz w:val="20"/>
          <w:szCs w:val="20"/>
        </w:rPr>
      </w:pPr>
    </w:p>
    <w:p w:rsidR="004C527D" w:rsidRPr="004C527D" w:rsidRDefault="004C527D" w:rsidP="004C527D">
      <w:pPr>
        <w:ind w:firstLine="709"/>
        <w:jc w:val="both"/>
        <w:rPr>
          <w:sz w:val="20"/>
          <w:szCs w:val="20"/>
        </w:rPr>
      </w:pPr>
      <w:r w:rsidRPr="004C527D">
        <w:rPr>
          <w:rFonts w:ascii="Arial" w:hAnsi="Arial"/>
          <w:snapToGrid w:val="0"/>
          <w:sz w:val="20"/>
          <w:szCs w:val="20"/>
        </w:rPr>
        <w:t>Bliższe informacje: Urząd Miasta Żagań - Wydział Gospodarki Nieruchomościami i Ochrony Środowiska, pokój nr 7 (parter), Tel. (068) 477 10 42, lub na stronie internetowej.</w:t>
      </w:r>
    </w:p>
    <w:p w:rsidR="004C527D" w:rsidRDefault="004C527D" w:rsidP="004C527D">
      <w:pPr>
        <w:widowControl w:val="0"/>
        <w:jc w:val="both"/>
        <w:rPr>
          <w:rFonts w:ascii="Arial" w:hAnsi="Arial" w:cs="Arial"/>
          <w:color w:val="000000"/>
          <w:sz w:val="22"/>
          <w:szCs w:val="22"/>
        </w:rPr>
      </w:pPr>
    </w:p>
    <w:p w:rsidR="00B92793" w:rsidRDefault="00B92793" w:rsidP="004C527D">
      <w:pPr>
        <w:ind w:left="-426" w:right="-567" w:firstLine="426"/>
      </w:pPr>
    </w:p>
    <w:sectPr w:rsidR="00B92793"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7D"/>
    <w:rsid w:val="00064306"/>
    <w:rsid w:val="00096ECD"/>
    <w:rsid w:val="00245E83"/>
    <w:rsid w:val="002A55FC"/>
    <w:rsid w:val="002B6422"/>
    <w:rsid w:val="00393E19"/>
    <w:rsid w:val="004116C0"/>
    <w:rsid w:val="004C527D"/>
    <w:rsid w:val="0051505B"/>
    <w:rsid w:val="0070490A"/>
    <w:rsid w:val="00803D57"/>
    <w:rsid w:val="008F3A5E"/>
    <w:rsid w:val="00934FAD"/>
    <w:rsid w:val="009A4D53"/>
    <w:rsid w:val="00A0048D"/>
    <w:rsid w:val="00A51809"/>
    <w:rsid w:val="00B130DB"/>
    <w:rsid w:val="00B54F0F"/>
    <w:rsid w:val="00B92793"/>
    <w:rsid w:val="00C402DA"/>
    <w:rsid w:val="00CF6E55"/>
    <w:rsid w:val="00D777FB"/>
    <w:rsid w:val="00D91E01"/>
    <w:rsid w:val="00E915A7"/>
    <w:rsid w:val="00F3247D"/>
    <w:rsid w:val="00F3425D"/>
    <w:rsid w:val="00F80C5F"/>
    <w:rsid w:val="00F8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BD596-0D01-42A9-B31C-09A1650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27D"/>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4C527D"/>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4C527D"/>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4C527D"/>
    <w:pPr>
      <w:jc w:val="both"/>
    </w:pPr>
  </w:style>
  <w:style w:type="character" w:customStyle="1" w:styleId="TekstpodstawowyZnak">
    <w:name w:val="Tekst podstawowy Znak"/>
    <w:basedOn w:val="Domylnaczcionkaakapitu"/>
    <w:link w:val="Tekstpodstawowy"/>
    <w:semiHidden/>
    <w:rsid w:val="004C527D"/>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2</cp:revision>
  <cp:lastPrinted>2016-07-21T12:05:00Z</cp:lastPrinted>
  <dcterms:created xsi:type="dcterms:W3CDTF">2017-01-02T09:39:00Z</dcterms:created>
  <dcterms:modified xsi:type="dcterms:W3CDTF">2017-01-02T09:39:00Z</dcterms:modified>
</cp:coreProperties>
</file>