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AF0" w:rsidRPr="00E07DFC" w:rsidRDefault="00172AF0" w:rsidP="00172AF0">
      <w:pPr>
        <w:pStyle w:val="Tytu"/>
        <w:ind w:left="2832" w:firstLine="708"/>
        <w:jc w:val="left"/>
        <w:rPr>
          <w:rFonts w:ascii="Arial" w:hAnsi="Arial"/>
          <w:sz w:val="22"/>
          <w:szCs w:val="22"/>
        </w:rPr>
      </w:pPr>
      <w:r w:rsidRPr="00E07DFC">
        <w:rPr>
          <w:rFonts w:ascii="Arial" w:hAnsi="Arial"/>
          <w:sz w:val="22"/>
          <w:szCs w:val="22"/>
        </w:rPr>
        <w:t>WYKAZ NIERUCHOMOŚCI WYZNACZONEJ DO SPRZEDAŻY</w:t>
      </w:r>
    </w:p>
    <w:p w:rsidR="00172AF0" w:rsidRPr="00E07DFC" w:rsidRDefault="00172AF0" w:rsidP="00172AF0">
      <w:pPr>
        <w:pStyle w:val="Podtytu"/>
        <w:rPr>
          <w:rFonts w:ascii="Arial" w:hAnsi="Arial"/>
          <w:color w:val="000000"/>
          <w:sz w:val="22"/>
          <w:szCs w:val="22"/>
        </w:rPr>
      </w:pPr>
      <w:r w:rsidRPr="00E07DFC">
        <w:rPr>
          <w:rFonts w:ascii="Arial" w:hAnsi="Arial"/>
          <w:color w:val="000000"/>
          <w:sz w:val="22"/>
          <w:szCs w:val="22"/>
        </w:rPr>
        <w:t xml:space="preserve">Załącznik do Zarządzenia Burmistrza Miasta Żagań Nr </w:t>
      </w:r>
      <w:r>
        <w:rPr>
          <w:rFonts w:ascii="Arial" w:hAnsi="Arial"/>
          <w:b w:val="0"/>
          <w:color w:val="000000"/>
          <w:sz w:val="22"/>
          <w:szCs w:val="22"/>
        </w:rPr>
        <w:t>…..</w:t>
      </w:r>
      <w:r w:rsidRPr="00E07DFC">
        <w:rPr>
          <w:rFonts w:ascii="Arial" w:hAnsi="Arial"/>
          <w:color w:val="000000"/>
          <w:sz w:val="22"/>
          <w:szCs w:val="22"/>
        </w:rPr>
        <w:t xml:space="preserve"> / 20</w:t>
      </w:r>
      <w:r>
        <w:rPr>
          <w:rFonts w:ascii="Arial" w:hAnsi="Arial"/>
          <w:color w:val="000000"/>
          <w:sz w:val="22"/>
          <w:szCs w:val="22"/>
        </w:rPr>
        <w:t>16</w:t>
      </w:r>
      <w:r w:rsidRPr="00E07DFC">
        <w:rPr>
          <w:rFonts w:ascii="Arial" w:hAnsi="Arial"/>
          <w:color w:val="000000"/>
          <w:sz w:val="22"/>
          <w:szCs w:val="22"/>
        </w:rPr>
        <w:t xml:space="preserve"> z dnia </w:t>
      </w:r>
      <w:r>
        <w:rPr>
          <w:rFonts w:ascii="Arial" w:hAnsi="Arial"/>
          <w:b w:val="0"/>
          <w:color w:val="000000"/>
          <w:sz w:val="22"/>
          <w:szCs w:val="22"/>
        </w:rPr>
        <w:t>…..</w:t>
      </w:r>
      <w:r w:rsidRPr="00E07DFC">
        <w:rPr>
          <w:rFonts w:ascii="Arial" w:hAnsi="Arial"/>
          <w:color w:val="000000"/>
          <w:sz w:val="22"/>
          <w:szCs w:val="22"/>
        </w:rPr>
        <w:t xml:space="preserve"> </w:t>
      </w:r>
      <w:r w:rsidR="00523B4B">
        <w:rPr>
          <w:rFonts w:ascii="Arial" w:hAnsi="Arial"/>
          <w:color w:val="000000"/>
          <w:sz w:val="22"/>
          <w:szCs w:val="22"/>
        </w:rPr>
        <w:t>października</w:t>
      </w:r>
      <w:r>
        <w:rPr>
          <w:rFonts w:ascii="Arial" w:hAnsi="Arial"/>
          <w:color w:val="000000"/>
          <w:sz w:val="22"/>
          <w:szCs w:val="22"/>
        </w:rPr>
        <w:t xml:space="preserve"> 2016</w:t>
      </w:r>
      <w:r w:rsidRPr="00E07DFC">
        <w:rPr>
          <w:rFonts w:ascii="Arial" w:hAnsi="Arial"/>
          <w:color w:val="000000"/>
          <w:sz w:val="22"/>
          <w:szCs w:val="22"/>
        </w:rPr>
        <w:t xml:space="preserve"> roku</w:t>
      </w:r>
    </w:p>
    <w:p w:rsidR="00172AF0" w:rsidRDefault="00172AF0" w:rsidP="00172AF0">
      <w:pPr>
        <w:jc w:val="both"/>
        <w:rPr>
          <w:rFonts w:ascii="Arial" w:hAnsi="Arial"/>
          <w:color w:val="000000"/>
          <w:sz w:val="20"/>
          <w:szCs w:val="20"/>
        </w:rPr>
      </w:pPr>
      <w:r w:rsidRPr="00E07DFC">
        <w:rPr>
          <w:rFonts w:ascii="Arial" w:hAnsi="Arial"/>
          <w:color w:val="000000"/>
          <w:sz w:val="20"/>
          <w:szCs w:val="20"/>
        </w:rPr>
        <w:t>Na podstawie art.35 ustawy z dnia 21 lipca 1997 r</w:t>
      </w:r>
      <w:r>
        <w:rPr>
          <w:rFonts w:ascii="Arial" w:hAnsi="Arial"/>
          <w:color w:val="000000"/>
          <w:sz w:val="20"/>
          <w:szCs w:val="20"/>
        </w:rPr>
        <w:t xml:space="preserve">. o gospodarce nieruchomościami </w:t>
      </w:r>
      <w:r w:rsidRPr="00E07DFC">
        <w:rPr>
          <w:rFonts w:ascii="Arial" w:hAnsi="Arial"/>
          <w:color w:val="000000"/>
          <w:sz w:val="20"/>
          <w:szCs w:val="20"/>
        </w:rPr>
        <w:t xml:space="preserve">Burmistrz Miasta Żagań podaje do publicznej wiadomości informację o wyznaczeniu do sprzedaży w drodze nieograniczonego przetargu </w:t>
      </w:r>
      <w:r w:rsidR="00523B4B">
        <w:rPr>
          <w:rFonts w:ascii="Arial" w:hAnsi="Arial"/>
          <w:color w:val="000000"/>
          <w:sz w:val="20"/>
          <w:szCs w:val="20"/>
        </w:rPr>
        <w:t>lokalu mieszkalnego nr 3</w:t>
      </w:r>
      <w:r>
        <w:rPr>
          <w:rFonts w:ascii="Arial" w:hAnsi="Arial"/>
          <w:color w:val="000000"/>
          <w:sz w:val="20"/>
          <w:szCs w:val="20"/>
        </w:rPr>
        <w:t xml:space="preserve"> przy ul. </w:t>
      </w:r>
      <w:r w:rsidR="00523B4B">
        <w:rPr>
          <w:rFonts w:ascii="Arial" w:hAnsi="Arial"/>
          <w:color w:val="000000"/>
          <w:sz w:val="20"/>
          <w:szCs w:val="20"/>
        </w:rPr>
        <w:t xml:space="preserve">Bolesławieckiej 19 </w:t>
      </w:r>
      <w:r>
        <w:rPr>
          <w:rFonts w:ascii="Arial" w:hAnsi="Arial"/>
          <w:color w:val="000000"/>
          <w:sz w:val="20"/>
          <w:szCs w:val="20"/>
        </w:rPr>
        <w:t>w Żaganiu:</w:t>
      </w:r>
    </w:p>
    <w:p w:rsidR="00172AF0" w:rsidRDefault="00172AF0" w:rsidP="00172AF0">
      <w:pPr>
        <w:jc w:val="both"/>
        <w:rPr>
          <w:rFonts w:ascii="Arial" w:hAnsi="Arial"/>
          <w:b/>
          <w:sz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4536"/>
        <w:gridCol w:w="3685"/>
        <w:gridCol w:w="1843"/>
        <w:gridCol w:w="2410"/>
        <w:gridCol w:w="1668"/>
      </w:tblGrid>
      <w:tr w:rsidR="00172AF0" w:rsidTr="004D0D88">
        <w:trPr>
          <w:cantSplit/>
          <w:trHeight w:val="520"/>
          <w:jc w:val="center"/>
        </w:trPr>
        <w:tc>
          <w:tcPr>
            <w:tcW w:w="1559" w:type="dxa"/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Położenie</w:t>
            </w:r>
          </w:p>
        </w:tc>
        <w:tc>
          <w:tcPr>
            <w:tcW w:w="4536" w:type="dxa"/>
            <w:vMerge w:val="restart"/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Opis nieruchomości</w:t>
            </w:r>
          </w:p>
        </w:tc>
        <w:tc>
          <w:tcPr>
            <w:tcW w:w="3685" w:type="dxa"/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Przeznaczenie gruntu w studium.</w:t>
            </w:r>
          </w:p>
        </w:tc>
        <w:tc>
          <w:tcPr>
            <w:tcW w:w="1843" w:type="dxa"/>
            <w:vMerge w:val="restart"/>
          </w:tcPr>
          <w:p w:rsidR="00172AF0" w:rsidRPr="00184585" w:rsidRDefault="00172AF0" w:rsidP="004D0D88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184585">
              <w:rPr>
                <w:rFonts w:ascii="Arial" w:hAnsi="Arial" w:cs="Arial"/>
                <w:b/>
                <w:sz w:val="23"/>
                <w:szCs w:val="23"/>
              </w:rPr>
              <w:t>Cena nier</w:t>
            </w:r>
            <w:r>
              <w:rPr>
                <w:rFonts w:ascii="Arial" w:hAnsi="Arial" w:cs="Arial"/>
                <w:b/>
                <w:sz w:val="23"/>
                <w:szCs w:val="23"/>
              </w:rPr>
              <w:t>u</w:t>
            </w:r>
            <w:r w:rsidRPr="00184585">
              <w:rPr>
                <w:rFonts w:ascii="Arial" w:hAnsi="Arial" w:cs="Arial"/>
                <w:b/>
                <w:sz w:val="23"/>
                <w:szCs w:val="23"/>
              </w:rPr>
              <w:t>chomości [zł]</w:t>
            </w:r>
          </w:p>
        </w:tc>
        <w:tc>
          <w:tcPr>
            <w:tcW w:w="2410" w:type="dxa"/>
            <w:vMerge w:val="restart"/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Termin do złożenia wniosku o pierwszeństwo w nabyciu nieruchomości</w:t>
            </w:r>
          </w:p>
        </w:tc>
        <w:tc>
          <w:tcPr>
            <w:tcW w:w="1668" w:type="dxa"/>
            <w:vMerge w:val="restart"/>
            <w:tcBorders>
              <w:bottom w:val="nil"/>
            </w:tcBorders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Sposób zapłaty</w:t>
            </w:r>
          </w:p>
        </w:tc>
      </w:tr>
      <w:tr w:rsidR="00172AF0" w:rsidTr="004D0D88">
        <w:trPr>
          <w:cantSplit/>
          <w:trHeight w:val="520"/>
          <w:jc w:val="center"/>
        </w:trPr>
        <w:tc>
          <w:tcPr>
            <w:tcW w:w="1559" w:type="dxa"/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Numer KW</w:t>
            </w:r>
          </w:p>
        </w:tc>
        <w:tc>
          <w:tcPr>
            <w:tcW w:w="4536" w:type="dxa"/>
            <w:vMerge/>
          </w:tcPr>
          <w:p w:rsidR="00172AF0" w:rsidRDefault="00172AF0" w:rsidP="004D0D88">
            <w:pPr>
              <w:pStyle w:val="Tytu"/>
              <w:rPr>
                <w:rFonts w:ascii="Arial" w:hAnsi="Arial"/>
                <w:sz w:val="23"/>
              </w:rPr>
            </w:pPr>
          </w:p>
        </w:tc>
        <w:tc>
          <w:tcPr>
            <w:tcW w:w="3685" w:type="dxa"/>
          </w:tcPr>
          <w:p w:rsidR="00172AF0" w:rsidRDefault="00172AF0" w:rsidP="004D0D88">
            <w:pPr>
              <w:pStyle w:val="Tytu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 xml:space="preserve">Termin </w:t>
            </w:r>
            <w:proofErr w:type="spellStart"/>
            <w:r>
              <w:rPr>
                <w:rFonts w:ascii="Arial" w:hAnsi="Arial"/>
                <w:sz w:val="23"/>
              </w:rPr>
              <w:t>zagosp</w:t>
            </w:r>
            <w:proofErr w:type="spellEnd"/>
            <w:r>
              <w:rPr>
                <w:rFonts w:ascii="Arial" w:hAnsi="Arial"/>
                <w:sz w:val="23"/>
              </w:rPr>
              <w:t>.</w:t>
            </w:r>
          </w:p>
        </w:tc>
        <w:tc>
          <w:tcPr>
            <w:tcW w:w="1843" w:type="dxa"/>
            <w:vMerge/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3"/>
              </w:rPr>
            </w:pPr>
          </w:p>
        </w:tc>
        <w:tc>
          <w:tcPr>
            <w:tcW w:w="2410" w:type="dxa"/>
            <w:vMerge/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3"/>
              </w:rPr>
            </w:pPr>
          </w:p>
        </w:tc>
        <w:tc>
          <w:tcPr>
            <w:tcW w:w="1668" w:type="dxa"/>
            <w:vMerge/>
            <w:tcBorders>
              <w:bottom w:val="nil"/>
            </w:tcBorders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3"/>
              </w:rPr>
            </w:pPr>
          </w:p>
        </w:tc>
      </w:tr>
      <w:tr w:rsidR="00172AF0" w:rsidTr="004D0D88">
        <w:trPr>
          <w:cantSplit/>
          <w:trHeight w:val="520"/>
          <w:jc w:val="center"/>
        </w:trPr>
        <w:tc>
          <w:tcPr>
            <w:tcW w:w="1559" w:type="dxa"/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Nr. dz. i pow.</w:t>
            </w:r>
          </w:p>
        </w:tc>
        <w:tc>
          <w:tcPr>
            <w:tcW w:w="4536" w:type="dxa"/>
            <w:vMerge/>
          </w:tcPr>
          <w:p w:rsidR="00172AF0" w:rsidRDefault="00172AF0" w:rsidP="004D0D88">
            <w:pPr>
              <w:pStyle w:val="Tytu"/>
              <w:rPr>
                <w:rFonts w:ascii="Arial" w:hAnsi="Arial"/>
                <w:sz w:val="23"/>
              </w:rPr>
            </w:pPr>
          </w:p>
        </w:tc>
        <w:tc>
          <w:tcPr>
            <w:tcW w:w="3685" w:type="dxa"/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 xml:space="preserve">Forma zbycia </w:t>
            </w:r>
          </w:p>
        </w:tc>
        <w:tc>
          <w:tcPr>
            <w:tcW w:w="1843" w:type="dxa"/>
            <w:vMerge/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3"/>
              </w:rPr>
            </w:pPr>
          </w:p>
        </w:tc>
        <w:tc>
          <w:tcPr>
            <w:tcW w:w="2410" w:type="dxa"/>
            <w:vMerge/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3"/>
              </w:rPr>
            </w:pPr>
          </w:p>
        </w:tc>
        <w:tc>
          <w:tcPr>
            <w:tcW w:w="1668" w:type="dxa"/>
            <w:vMerge/>
            <w:tcBorders>
              <w:bottom w:val="double" w:sz="4" w:space="0" w:color="auto"/>
            </w:tcBorders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3"/>
              </w:rPr>
            </w:pPr>
          </w:p>
        </w:tc>
      </w:tr>
      <w:tr w:rsidR="00172AF0" w:rsidTr="004D0D88">
        <w:trPr>
          <w:cantSplit/>
          <w:trHeight w:val="70"/>
          <w:jc w:val="center"/>
        </w:trPr>
        <w:tc>
          <w:tcPr>
            <w:tcW w:w="1559" w:type="dxa"/>
          </w:tcPr>
          <w:p w:rsidR="00172AF0" w:rsidRDefault="00172AF0" w:rsidP="004D0D8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</w:t>
            </w:r>
          </w:p>
        </w:tc>
        <w:tc>
          <w:tcPr>
            <w:tcW w:w="4536" w:type="dxa"/>
          </w:tcPr>
          <w:p w:rsidR="00172AF0" w:rsidRDefault="00172AF0" w:rsidP="004D0D88">
            <w:pPr>
              <w:pStyle w:val="Tytu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>2</w:t>
            </w:r>
          </w:p>
        </w:tc>
        <w:tc>
          <w:tcPr>
            <w:tcW w:w="3685" w:type="dxa"/>
          </w:tcPr>
          <w:p w:rsidR="00172AF0" w:rsidRDefault="00172AF0" w:rsidP="004D0D8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</w:t>
            </w:r>
          </w:p>
        </w:tc>
        <w:tc>
          <w:tcPr>
            <w:tcW w:w="1843" w:type="dxa"/>
          </w:tcPr>
          <w:p w:rsidR="00172AF0" w:rsidRDefault="00172AF0" w:rsidP="004D0D8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</w:t>
            </w:r>
          </w:p>
        </w:tc>
        <w:tc>
          <w:tcPr>
            <w:tcW w:w="2410" w:type="dxa"/>
          </w:tcPr>
          <w:p w:rsidR="00172AF0" w:rsidRDefault="00172AF0" w:rsidP="004D0D8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</w:t>
            </w:r>
          </w:p>
        </w:tc>
        <w:tc>
          <w:tcPr>
            <w:tcW w:w="1668" w:type="dxa"/>
          </w:tcPr>
          <w:p w:rsidR="00172AF0" w:rsidRDefault="00172AF0" w:rsidP="004D0D8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7</w:t>
            </w:r>
          </w:p>
        </w:tc>
      </w:tr>
      <w:tr w:rsidR="00172AF0" w:rsidTr="004D0D88">
        <w:trPr>
          <w:cantSplit/>
          <w:trHeight w:val="1327"/>
          <w:jc w:val="center"/>
        </w:trPr>
        <w:tc>
          <w:tcPr>
            <w:tcW w:w="1559" w:type="dxa"/>
          </w:tcPr>
          <w:p w:rsidR="00172AF0" w:rsidRPr="007D5E89" w:rsidRDefault="00172AF0" w:rsidP="00523B4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Żagań ul. </w:t>
            </w:r>
            <w:r w:rsidR="00523B4B">
              <w:rPr>
                <w:rFonts w:ascii="Arial" w:hAnsi="Arial"/>
                <w:sz w:val="22"/>
                <w:szCs w:val="22"/>
              </w:rPr>
              <w:t>Bolesławiecka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7D5E89">
              <w:rPr>
                <w:rFonts w:ascii="Arial" w:hAnsi="Arial"/>
                <w:sz w:val="22"/>
                <w:szCs w:val="22"/>
              </w:rPr>
              <w:t>stref</w:t>
            </w:r>
            <w:r>
              <w:rPr>
                <w:rFonts w:ascii="Arial" w:hAnsi="Arial"/>
                <w:sz w:val="22"/>
                <w:szCs w:val="22"/>
              </w:rPr>
              <w:t>a śródmiejska</w:t>
            </w:r>
          </w:p>
        </w:tc>
        <w:tc>
          <w:tcPr>
            <w:tcW w:w="4536" w:type="dxa"/>
            <w:vMerge w:val="restart"/>
          </w:tcPr>
          <w:p w:rsidR="00172AF0" w:rsidRPr="006A70C6" w:rsidRDefault="00523B4B" w:rsidP="00523B4B">
            <w:pPr>
              <w:pStyle w:val="Tekstpodstawowy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Lokal mieszkalny położony w budynku mieszkalnym, w zabudowie bliźniaczej, wybudowanym w 1930 r, dwukondygnacyjnym, całkowicie podpiwniczonym, w którym znajdują się 3 lokale mieszkalne. Budynek wykonany w technologii tradycyjnej, murowany, jednoklatkowy. Dach drewniany, dwuspadowy, kryty dachówką ceramiczną. Stropy: nad piwnicą ceramiczny pozostałe stropy między kondygnacjami drewniane, schody: do piwnicy betonowe, między kondygnacjami żelbetowe, na strych drewniane. Ściany konstrukcyjne i działowe z cegły pełnej ceramicznej. Instalacje w budynku: wodno-kanalizacyjna, gazowa i telekomunikacyjne. Ogrzewanie w lokalu centralne i piecowe. Stolarka okienna w lokalu drewniana i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pcv</w:t>
            </w:r>
            <w:proofErr w:type="spellEnd"/>
            <w:r w:rsidR="006A70C6">
              <w:rPr>
                <w:rFonts w:ascii="Arial" w:hAnsi="Arial"/>
                <w:color w:val="000000"/>
                <w:sz w:val="18"/>
                <w:szCs w:val="18"/>
              </w:rPr>
              <w:t xml:space="preserve"> do wymiany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, drzwi płycinowe. Lokal nr 3 położony jest na II kondygnacji budynku</w:t>
            </w:r>
            <w:r w:rsidR="006A70C6">
              <w:rPr>
                <w:rFonts w:ascii="Arial" w:hAnsi="Arial"/>
                <w:color w:val="000000"/>
                <w:sz w:val="18"/>
                <w:szCs w:val="18"/>
              </w:rPr>
              <w:t>. Lokal składa się z dwóch pomieszczeń: pokoju i kuchni. Powierzchnia użytkowa lokalu wynosi 29,14 ,m</w:t>
            </w:r>
            <w:r w:rsidR="006A70C6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2</w:t>
            </w:r>
            <w:r w:rsidR="006A70C6">
              <w:rPr>
                <w:rFonts w:ascii="Arial" w:hAnsi="Arial"/>
                <w:color w:val="000000"/>
                <w:sz w:val="18"/>
                <w:szCs w:val="18"/>
              </w:rPr>
              <w:t>. Lokal znajduje się w złym stanie technicznym – wymaga on remontu generalnego. Podłogi w całym lokalu są w stanie niezadowalającym. Ściany lokalu wymagają odnowienia, występuje pleśń. Wszystkie drzwi w lokalu wymagają wymiany. Piec kaflowy w lokalu w stanie złym, wymaga rozbiórki. W lokalu brak jest w.c. oraz łazienki. Wspólna toaleta znajduje się w korytarzu na tej samej kondygnacji budynku. Do lokalu przynależy piwnica o powierzchni 5,94 m</w:t>
            </w:r>
            <w:r w:rsidR="006A70C6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2</w:t>
            </w:r>
            <w:r w:rsidR="006A70C6">
              <w:rPr>
                <w:rFonts w:ascii="Arial" w:hAnsi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685" w:type="dxa"/>
          </w:tcPr>
          <w:p w:rsidR="00172AF0" w:rsidRPr="007D5E89" w:rsidRDefault="00316E14" w:rsidP="004D0D88">
            <w:pPr>
              <w:pStyle w:val="Tekstpodstawowy"/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Nieruchomość znajduje się w obszarze obowiązywania miejscowego planu zagospodarowania przestrzennego dla </w:t>
            </w:r>
            <w:r w:rsidR="001B01C0">
              <w:rPr>
                <w:rFonts w:ascii="Arial" w:hAnsi="Arial"/>
                <w:color w:val="000000"/>
                <w:sz w:val="22"/>
                <w:szCs w:val="22"/>
              </w:rPr>
              <w:t>terenu położonego w rejonie ulic Asnyka, Bolesławieckiej i Chrobrego w Żaganiu i określona jest symbolem MN dopuszczającej zabudowę mieszkaniową jednorodzinną wolnostojącą</w:t>
            </w:r>
            <w:bookmarkStart w:id="0" w:name="_GoBack"/>
            <w:bookmarkEnd w:id="0"/>
          </w:p>
          <w:p w:rsidR="00172AF0" w:rsidRPr="007D5E89" w:rsidRDefault="00172AF0" w:rsidP="004D0D88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843" w:type="dxa"/>
            <w:vMerge w:val="restart"/>
          </w:tcPr>
          <w:p w:rsidR="00172AF0" w:rsidRPr="007D5E89" w:rsidRDefault="00172AF0" w:rsidP="004D0D88">
            <w:pPr>
              <w:jc w:val="center"/>
              <w:rPr>
                <w:rFonts w:ascii="Arial" w:hAnsi="Arial"/>
                <w:color w:val="000000"/>
                <w:sz w:val="22"/>
              </w:rPr>
            </w:pPr>
          </w:p>
          <w:p w:rsidR="00172AF0" w:rsidRPr="007D5E89" w:rsidRDefault="006A70C6" w:rsidP="004D0D88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34</w:t>
            </w:r>
            <w:r w:rsidR="00172AF0">
              <w:rPr>
                <w:rFonts w:ascii="Arial" w:hAnsi="Arial"/>
                <w:b/>
                <w:color w:val="000000"/>
                <w:sz w:val="22"/>
                <w:szCs w:val="22"/>
              </w:rPr>
              <w:t>.000,00</w:t>
            </w:r>
            <w:r w:rsidR="00172AF0" w:rsidRPr="007D5E89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2410" w:type="dxa"/>
            <w:vMerge w:val="restart"/>
          </w:tcPr>
          <w:p w:rsidR="00172AF0" w:rsidRPr="007D5E89" w:rsidRDefault="00172AF0" w:rsidP="004D0D8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Wnioski można składać ciągu 6 </w:t>
            </w:r>
            <w:r w:rsidRPr="007D5E89">
              <w:rPr>
                <w:rFonts w:ascii="Arial" w:hAnsi="Arial" w:cs="Arial"/>
                <w:color w:val="000000"/>
                <w:sz w:val="22"/>
                <w:szCs w:val="22"/>
              </w:rPr>
              <w:t>tygodni licząc od dnia wywieszenia wykazu.</w:t>
            </w:r>
          </w:p>
          <w:p w:rsidR="00172AF0" w:rsidRPr="007D5E89" w:rsidRDefault="00172AF0" w:rsidP="004D0D8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D5E89">
              <w:rPr>
                <w:rFonts w:ascii="Arial" w:hAnsi="Arial" w:cs="Arial"/>
                <w:color w:val="000000"/>
                <w:sz w:val="22"/>
                <w:szCs w:val="22"/>
              </w:rPr>
              <w:t>Wnioski mogą składać osoby którym przysługuje pierwszeństwo w nabyciu nieruchomości na podstawie art. 34 ust. 1 pkt 1 i pkt 2 ustawy o gospodarce nieruchomościami (</w:t>
            </w:r>
            <w:r w:rsidRPr="007D5E89">
              <w:rPr>
                <w:rFonts w:ascii="Arial" w:hAnsi="Arial" w:cs="Arial"/>
                <w:sz w:val="22"/>
                <w:szCs w:val="22"/>
              </w:rPr>
              <w:t>Dz. U. z 2004 r. Nr 261, poz. 2603 z póź.zm</w:t>
            </w:r>
            <w:r w:rsidRPr="007D5E8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:rsidR="00172AF0" w:rsidRPr="007D5E89" w:rsidRDefault="00172AF0" w:rsidP="004D0D88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1668" w:type="dxa"/>
            <w:vMerge w:val="restart"/>
          </w:tcPr>
          <w:p w:rsidR="00172AF0" w:rsidRPr="007D5E89" w:rsidRDefault="00172AF0" w:rsidP="004D0D88">
            <w:pPr>
              <w:pStyle w:val="Tekstpodstawowy"/>
              <w:rPr>
                <w:rFonts w:ascii="Arial" w:hAnsi="Arial"/>
                <w:b/>
                <w:color w:val="000000"/>
                <w:sz w:val="22"/>
              </w:rPr>
            </w:pPr>
          </w:p>
          <w:p w:rsidR="00172AF0" w:rsidRPr="007D5E89" w:rsidRDefault="00172AF0" w:rsidP="004D0D88">
            <w:pPr>
              <w:pStyle w:val="Tekstpodstawowy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Należność</w:t>
            </w:r>
          </w:p>
          <w:p w:rsidR="00172AF0" w:rsidRPr="007D5E89" w:rsidRDefault="00172AF0" w:rsidP="004D0D88">
            <w:pPr>
              <w:pStyle w:val="Tekstpodstawowy"/>
              <w:rPr>
                <w:rFonts w:ascii="Arial" w:hAnsi="Arial"/>
                <w:color w:val="000000"/>
                <w:sz w:val="22"/>
              </w:rPr>
            </w:pPr>
            <w:r w:rsidRPr="007D5E89">
              <w:rPr>
                <w:rFonts w:ascii="Arial" w:hAnsi="Arial"/>
                <w:color w:val="000000"/>
                <w:sz w:val="22"/>
                <w:szCs w:val="22"/>
              </w:rPr>
              <w:t>za nieruchomość, ustaloną w przetargu nabywca zobowiązany jest wpłacić</w:t>
            </w:r>
          </w:p>
          <w:p w:rsidR="00172AF0" w:rsidRPr="007D5E89" w:rsidRDefault="00172AF0" w:rsidP="004D0D88">
            <w:pPr>
              <w:pStyle w:val="Tekstpodstawowy"/>
              <w:rPr>
                <w:rFonts w:ascii="Arial" w:hAnsi="Arial"/>
                <w:color w:val="000000"/>
                <w:sz w:val="22"/>
              </w:rPr>
            </w:pPr>
            <w:r w:rsidRPr="007D5E89">
              <w:rPr>
                <w:rFonts w:ascii="Arial" w:hAnsi="Arial"/>
                <w:color w:val="000000"/>
                <w:sz w:val="22"/>
                <w:szCs w:val="22"/>
              </w:rPr>
              <w:t xml:space="preserve">w całości </w:t>
            </w:r>
          </w:p>
          <w:p w:rsidR="00172AF0" w:rsidRPr="007D5E89" w:rsidRDefault="00172AF0" w:rsidP="004D0D88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7D5E89">
              <w:rPr>
                <w:rFonts w:ascii="Arial" w:hAnsi="Arial"/>
                <w:color w:val="000000"/>
                <w:sz w:val="22"/>
                <w:szCs w:val="22"/>
              </w:rPr>
              <w:t xml:space="preserve">najpóźniej przed podpisaniem </w:t>
            </w:r>
          </w:p>
          <w:p w:rsidR="00172AF0" w:rsidRPr="007D5E89" w:rsidRDefault="00172AF0" w:rsidP="004D0D88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 w:rsidRPr="007D5E89">
              <w:rPr>
                <w:rFonts w:ascii="Arial" w:hAnsi="Arial"/>
                <w:color w:val="000000"/>
                <w:sz w:val="22"/>
                <w:szCs w:val="22"/>
              </w:rPr>
              <w:t>umowy notarialnej.</w:t>
            </w:r>
          </w:p>
        </w:tc>
      </w:tr>
      <w:tr w:rsidR="00172AF0" w:rsidTr="004D0D88">
        <w:trPr>
          <w:cantSplit/>
          <w:trHeight w:val="470"/>
          <w:jc w:val="center"/>
        </w:trPr>
        <w:tc>
          <w:tcPr>
            <w:tcW w:w="1559" w:type="dxa"/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172AF0" w:rsidRDefault="00172AF0" w:rsidP="00523B4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KW </w:t>
            </w:r>
            <w:r w:rsidR="00523B4B">
              <w:rPr>
                <w:rFonts w:ascii="Arial" w:hAnsi="Arial"/>
                <w:b/>
                <w:sz w:val="22"/>
              </w:rPr>
              <w:t>14986/4</w:t>
            </w:r>
          </w:p>
        </w:tc>
        <w:tc>
          <w:tcPr>
            <w:tcW w:w="4536" w:type="dxa"/>
            <w:vMerge/>
          </w:tcPr>
          <w:p w:rsidR="00172AF0" w:rsidRDefault="00172AF0" w:rsidP="004D0D88">
            <w:pPr>
              <w:pStyle w:val="Tytu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3685" w:type="dxa"/>
          </w:tcPr>
          <w:p w:rsidR="00172AF0" w:rsidRPr="007D5E89" w:rsidRDefault="00172AF0" w:rsidP="004D0D88">
            <w:pPr>
              <w:rPr>
                <w:rFonts w:ascii="Arial" w:hAnsi="Arial"/>
                <w:color w:val="000000"/>
                <w:sz w:val="22"/>
              </w:rPr>
            </w:pPr>
            <w:r w:rsidRPr="007D5E89">
              <w:rPr>
                <w:rFonts w:ascii="Arial" w:hAnsi="Arial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1843" w:type="dxa"/>
            <w:vMerge/>
          </w:tcPr>
          <w:p w:rsidR="00172AF0" w:rsidRDefault="00172AF0" w:rsidP="004D0D8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410" w:type="dxa"/>
            <w:vMerge/>
          </w:tcPr>
          <w:p w:rsidR="00172AF0" w:rsidRDefault="00172AF0" w:rsidP="004D0D8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68" w:type="dxa"/>
            <w:vMerge/>
          </w:tcPr>
          <w:p w:rsidR="00172AF0" w:rsidRDefault="00172AF0" w:rsidP="004D0D88">
            <w:pPr>
              <w:pStyle w:val="Tekstpodstawowy"/>
              <w:rPr>
                <w:rFonts w:ascii="Arial" w:hAnsi="Arial"/>
                <w:b/>
                <w:sz w:val="22"/>
              </w:rPr>
            </w:pPr>
          </w:p>
        </w:tc>
      </w:tr>
      <w:tr w:rsidR="00172AF0" w:rsidTr="004D0D88">
        <w:trPr>
          <w:cantSplit/>
          <w:trHeight w:val="1686"/>
          <w:jc w:val="center"/>
        </w:trPr>
        <w:tc>
          <w:tcPr>
            <w:tcW w:w="1559" w:type="dxa"/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172AF0" w:rsidRDefault="00172AF0" w:rsidP="004D0D88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172AF0" w:rsidRPr="004373E3" w:rsidRDefault="00523B4B" w:rsidP="004D0D8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29,14</w:t>
            </w:r>
            <w:r w:rsidR="00172AF0">
              <w:rPr>
                <w:rFonts w:ascii="Arial" w:hAnsi="Arial"/>
                <w:b/>
                <w:sz w:val="22"/>
              </w:rPr>
              <w:t xml:space="preserve"> m</w:t>
            </w:r>
            <w:r w:rsidR="00172AF0">
              <w:rPr>
                <w:rFonts w:ascii="Arial" w:hAnsi="Arial"/>
                <w:b/>
                <w:sz w:val="22"/>
                <w:vertAlign w:val="superscript"/>
              </w:rPr>
              <w:t>2</w:t>
            </w:r>
          </w:p>
          <w:p w:rsidR="00172AF0" w:rsidRDefault="00172AF0" w:rsidP="004D0D88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172AF0" w:rsidRDefault="00523B4B" w:rsidP="004D0D8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1360</w:t>
            </w:r>
          </w:p>
          <w:p w:rsidR="00172AF0" w:rsidRDefault="00523B4B" w:rsidP="00523B4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700</w:t>
            </w:r>
            <w:r w:rsidR="00172AF0">
              <w:rPr>
                <w:rFonts w:ascii="Arial" w:hAnsi="Arial"/>
                <w:b/>
                <w:sz w:val="22"/>
              </w:rPr>
              <w:t xml:space="preserve"> </w:t>
            </w:r>
            <w:r w:rsidR="00172AF0">
              <w:rPr>
                <w:rFonts w:ascii="Arial" w:hAnsi="Arial"/>
                <w:b/>
                <w:color w:val="000000"/>
                <w:sz w:val="22"/>
              </w:rPr>
              <w:t>m</w:t>
            </w:r>
            <w:r w:rsidR="00172AF0">
              <w:rPr>
                <w:rFonts w:ascii="Arial" w:hAnsi="Arial"/>
                <w:b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4536" w:type="dxa"/>
            <w:vMerge/>
          </w:tcPr>
          <w:p w:rsidR="00172AF0" w:rsidRDefault="00172AF0" w:rsidP="004D0D88">
            <w:pPr>
              <w:pStyle w:val="Tytu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3685" w:type="dxa"/>
          </w:tcPr>
          <w:p w:rsidR="00172AF0" w:rsidRPr="007D5E89" w:rsidRDefault="00172AF0" w:rsidP="004D0D88">
            <w:pPr>
              <w:jc w:val="both"/>
              <w:rPr>
                <w:rFonts w:ascii="Arial" w:hAnsi="Arial"/>
                <w:color w:val="000000"/>
                <w:sz w:val="22"/>
              </w:rPr>
            </w:pPr>
            <w:r w:rsidRPr="007D5E89">
              <w:rPr>
                <w:rFonts w:ascii="Arial" w:hAnsi="Arial"/>
                <w:color w:val="000000"/>
                <w:sz w:val="22"/>
                <w:szCs w:val="22"/>
              </w:rPr>
              <w:t>Przetarg ustny nieograniczony.</w:t>
            </w:r>
          </w:p>
        </w:tc>
        <w:tc>
          <w:tcPr>
            <w:tcW w:w="1843" w:type="dxa"/>
            <w:vMerge/>
          </w:tcPr>
          <w:p w:rsidR="00172AF0" w:rsidRDefault="00172AF0" w:rsidP="004D0D8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410" w:type="dxa"/>
            <w:vMerge/>
          </w:tcPr>
          <w:p w:rsidR="00172AF0" w:rsidRDefault="00172AF0" w:rsidP="004D0D8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68" w:type="dxa"/>
            <w:vMerge/>
          </w:tcPr>
          <w:p w:rsidR="00172AF0" w:rsidRDefault="00172AF0" w:rsidP="004D0D88">
            <w:pPr>
              <w:pStyle w:val="Tekstpodstawowy"/>
              <w:rPr>
                <w:rFonts w:ascii="Arial" w:hAnsi="Arial"/>
                <w:b/>
                <w:sz w:val="22"/>
              </w:rPr>
            </w:pPr>
          </w:p>
        </w:tc>
      </w:tr>
    </w:tbl>
    <w:p w:rsidR="00172AF0" w:rsidRDefault="00172AF0" w:rsidP="00172AF0">
      <w:pPr>
        <w:jc w:val="both"/>
        <w:rPr>
          <w:rFonts w:ascii="Arial" w:hAnsi="Arial"/>
          <w:sz w:val="24"/>
        </w:rPr>
      </w:pPr>
    </w:p>
    <w:p w:rsidR="00172AF0" w:rsidRPr="00C52D90" w:rsidRDefault="00172AF0" w:rsidP="00172AF0">
      <w:pPr>
        <w:rPr>
          <w:rFonts w:ascii="Arial" w:hAnsi="Arial"/>
          <w:sz w:val="16"/>
          <w:szCs w:val="16"/>
        </w:rPr>
      </w:pPr>
      <w:r w:rsidRPr="00C52D90">
        <w:rPr>
          <w:rFonts w:ascii="Arial" w:hAnsi="Arial"/>
          <w:sz w:val="16"/>
          <w:szCs w:val="16"/>
        </w:rPr>
        <w:t>Data wywieszenia wykazu:.....................................</w:t>
      </w:r>
    </w:p>
    <w:p w:rsidR="00172AF0" w:rsidRDefault="00172AF0" w:rsidP="00172AF0">
      <w:pPr>
        <w:rPr>
          <w:rFonts w:ascii="Arial" w:hAnsi="Arial"/>
          <w:sz w:val="16"/>
          <w:szCs w:val="16"/>
        </w:rPr>
      </w:pPr>
      <w:r w:rsidRPr="00C52D90">
        <w:rPr>
          <w:rFonts w:ascii="Arial" w:hAnsi="Arial"/>
          <w:sz w:val="16"/>
          <w:szCs w:val="16"/>
        </w:rPr>
        <w:t>Data zdjęcia wykazu: ....................................</w:t>
      </w:r>
      <w:r>
        <w:rPr>
          <w:rFonts w:ascii="Arial" w:hAnsi="Arial"/>
          <w:sz w:val="16"/>
          <w:szCs w:val="16"/>
        </w:rPr>
        <w:t>.........</w:t>
      </w:r>
      <w:r w:rsidRPr="00C52D90">
        <w:rPr>
          <w:rFonts w:ascii="Arial" w:hAnsi="Arial"/>
          <w:sz w:val="16"/>
          <w:szCs w:val="16"/>
        </w:rPr>
        <w:t xml:space="preserve">         </w:t>
      </w:r>
    </w:p>
    <w:p w:rsidR="00172AF0" w:rsidRPr="00C52D90" w:rsidRDefault="00172AF0" w:rsidP="00172AF0">
      <w:pPr>
        <w:rPr>
          <w:rFonts w:ascii="Arial" w:hAnsi="Arial"/>
          <w:sz w:val="16"/>
          <w:szCs w:val="16"/>
        </w:rPr>
      </w:pPr>
      <w:proofErr w:type="spellStart"/>
      <w:r w:rsidRPr="00C52D90">
        <w:rPr>
          <w:rFonts w:ascii="Arial" w:hAnsi="Arial"/>
          <w:sz w:val="16"/>
          <w:szCs w:val="16"/>
        </w:rPr>
        <w:t>sp.KK</w:t>
      </w:r>
      <w:proofErr w:type="spellEnd"/>
    </w:p>
    <w:p w:rsidR="00172AF0" w:rsidRDefault="00172AF0" w:rsidP="00172AF0">
      <w:pPr>
        <w:rPr>
          <w:rFonts w:ascii="Arial" w:hAnsi="Arial"/>
          <w:sz w:val="22"/>
        </w:rPr>
      </w:pPr>
    </w:p>
    <w:p w:rsidR="007C7FA1" w:rsidRDefault="007C7FA1"/>
    <w:sectPr w:rsidR="007C7FA1" w:rsidSect="00172AF0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2AF0"/>
    <w:rsid w:val="00172AF0"/>
    <w:rsid w:val="001B01C0"/>
    <w:rsid w:val="00316E14"/>
    <w:rsid w:val="00523B4B"/>
    <w:rsid w:val="006A70C6"/>
    <w:rsid w:val="007C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C6F5C-13CF-4152-8439-DE7451AC7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2A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72AF0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72A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72AF0"/>
    <w:pPr>
      <w:widowControl w:val="0"/>
      <w:autoSpaceDE w:val="0"/>
      <w:autoSpaceDN w:val="0"/>
      <w:adjustRightInd w:val="0"/>
      <w:jc w:val="center"/>
    </w:pPr>
    <w:rPr>
      <w:b/>
      <w:bCs/>
      <w:szCs w:val="28"/>
    </w:rPr>
  </w:style>
  <w:style w:type="character" w:customStyle="1" w:styleId="TytuZnak">
    <w:name w:val="Tytuł Znak"/>
    <w:basedOn w:val="Domylnaczcionkaakapitu"/>
    <w:link w:val="Tytu"/>
    <w:rsid w:val="00172AF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172AF0"/>
    <w:pPr>
      <w:pBdr>
        <w:right w:val="single" w:sz="4" w:space="4" w:color="auto"/>
      </w:pBdr>
      <w:jc w:val="center"/>
    </w:pPr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172AF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1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1C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3</cp:revision>
  <cp:lastPrinted>2016-10-04T10:12:00Z</cp:lastPrinted>
  <dcterms:created xsi:type="dcterms:W3CDTF">2016-01-12T12:36:00Z</dcterms:created>
  <dcterms:modified xsi:type="dcterms:W3CDTF">2016-10-04T10:14:00Z</dcterms:modified>
</cp:coreProperties>
</file>