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Burmistrza Miasta Żagań Nr .. / 2015 z dnia … kwietnia 2015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nieograniczonego przy ul. Armii Krajowej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blPrEx>
          <w:tblCellMar>
            <w:top w:w="0" w:type="dxa"/>
            <w:bottom w:w="0" w:type="dxa"/>
          </w:tblCellMar>
        </w:tblPrEx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0E1BD9" w:rsidP="005305FA">
            <w:pPr>
              <w:jc w:val="center"/>
            </w:pPr>
            <w:proofErr w:type="spellStart"/>
            <w:r>
              <w:t>asnyka</w:t>
            </w:r>
            <w:proofErr w:type="spellEnd"/>
            <w:r>
              <w:t xml:space="preserve"> strefa 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0E1BD9" w:rsidP="005305FA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 xml:space="preserve">Grunt niezabudowany i niezagospodarowany, </w:t>
            </w:r>
            <w:r>
              <w:rPr>
                <w:color w:val="000000"/>
                <w:sz w:val="20"/>
              </w:rPr>
              <w:t>położony w sąsiedztwie zabudowy o przeznaczeniu produkcyjno – magazynowym, niskiej zabudowy mieszkaniowej oraz obwodnicy miejskiej. Grunt o przeznaczeniu pod zabudowę techniczno – produkcyjną, składową i magazynową. Z dopuszczeniem usług handlowych, administracji, transportu łączności, dopuszcza się lokalizację stacji paliw. Od północno – wschodniej strony nieruchomości, w odległości o.50m przebiega obwodnica miejska (w ciągu DK 12) bez zjazdu, od południa i zachodu sąsiedztwo zabudowanych nieruchomości o przeznaczeniu produkcyjnym. Dojazd do nieruchomości od ul. Młynarskiej i Bolesławieckiej drogą o nawierzchni asfaltowej, przystosowanej do ruchu wielkogabarytowego oraz drogą gruntową. Teren nieruchomości równy, warunki geotechniczne średnie, wysoki poziom wód gruntowych ze względu na bliskość rzek Czerna i Bóbr, nasłonecznienie duże. Nieruchomość porośnięta licznymi sosnami, brzozami i innymi drzewami</w:t>
            </w:r>
            <w:r w:rsidRPr="00496C9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zakwalifikowanymi jako </w:t>
            </w:r>
            <w:proofErr w:type="spellStart"/>
            <w:r>
              <w:rPr>
                <w:color w:val="000000"/>
                <w:sz w:val="20"/>
              </w:rPr>
              <w:t>samosieje</w:t>
            </w:r>
            <w:proofErr w:type="spellEnd"/>
            <w:r>
              <w:rPr>
                <w:color w:val="000000"/>
                <w:sz w:val="20"/>
              </w:rPr>
              <w:t xml:space="preserve"> w wieku do 10 lat. Dostępność do sieci infrastruktury technicznej dobra – w bezpośrednim sąsiedztwie nieruchomości lub w ulicy dojazdowej. Atrakcyjne położenie dla określonej funkcji nieruchomości.</w:t>
            </w:r>
          </w:p>
        </w:tc>
        <w:tc>
          <w:tcPr>
            <w:tcW w:w="2126" w:type="dxa"/>
            <w:vMerge w:val="restart"/>
          </w:tcPr>
          <w:p w:rsidR="000E1BD9" w:rsidRPr="00336BF8" w:rsidRDefault="000E1BD9" w:rsidP="005305FA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336BF8">
              <w:rPr>
                <w:rFonts w:ascii="Arial" w:hAnsi="Arial" w:cs="Arial"/>
                <w:b w:val="0"/>
                <w:sz w:val="18"/>
                <w:szCs w:val="18"/>
              </w:rPr>
              <w:t>zgodnie z miejscowym planem zagospodarowania przestrzennego przeznaczone są pod zabudowę techniczno – produkcyjną. Podstawowe przeznaczenie terenu – zabudowa produkcyjna, pod magazyny, składy, handel hurtowy i rzemiosło produkcyjne. Przeznaczenie dopuszczalne – usługi handlu, administracji, transportu, łączności, stacje paliw i stacje obsługi. Wielkość powierzchni zabudowy – nie więcej niż 60% pow. działki, powierzchnia biologicznie czynna nie mniej niż 10%. Wysokość zabudowy do trzech kondygnacji ale nie przekraczająca 17m, szerokość elewacji frontowej od 10 do 30 m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183.000,00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blPrEx>
          <w:tblCellMar>
            <w:top w:w="0" w:type="dxa"/>
            <w:bottom w:w="0" w:type="dxa"/>
          </w:tblCellMar>
        </w:tblPrEx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5305FA">
            <w:pPr>
              <w:pStyle w:val="Nagwek3"/>
            </w:pPr>
            <w:r>
              <w:t>KW Nr 41682/1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blPrEx>
          <w:tblCellMar>
            <w:top w:w="0" w:type="dxa"/>
            <w:bottom w:w="0" w:type="dxa"/>
          </w:tblCellMar>
        </w:tblPrEx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1959/13</w:t>
            </w:r>
          </w:p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7629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BD9"/>
    <w:rsid w:val="000E1BD9"/>
    <w:rsid w:val="006B5C0B"/>
    <w:rsid w:val="00B9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2015-04-21T11:10:00Z</dcterms:created>
  <dcterms:modified xsi:type="dcterms:W3CDTF">2015-04-21T11:11:00Z</dcterms:modified>
</cp:coreProperties>
</file>