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7B18ED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0E1BD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4A62B4">
        <w:rPr>
          <w:rFonts w:ascii="Arial" w:hAnsi="Arial"/>
          <w:sz w:val="20"/>
        </w:rPr>
        <w:t xml:space="preserve">istrza Miasta Żagań Nr </w:t>
      </w:r>
      <w:r w:rsidR="00EC4539">
        <w:rPr>
          <w:rFonts w:ascii="Arial" w:hAnsi="Arial"/>
          <w:sz w:val="20"/>
        </w:rPr>
        <w:t>132/</w:t>
      </w:r>
      <w:r w:rsidR="004A62B4">
        <w:rPr>
          <w:rFonts w:ascii="Arial" w:hAnsi="Arial"/>
          <w:sz w:val="20"/>
        </w:rPr>
        <w:t>20</w:t>
      </w:r>
      <w:r w:rsidR="00D53E72">
        <w:rPr>
          <w:rFonts w:ascii="Arial" w:hAnsi="Arial"/>
          <w:sz w:val="20"/>
        </w:rPr>
        <w:t>20</w:t>
      </w:r>
      <w:r w:rsidRPr="000E1BD9">
        <w:rPr>
          <w:rFonts w:ascii="Arial" w:hAnsi="Arial"/>
          <w:sz w:val="20"/>
        </w:rPr>
        <w:t xml:space="preserve"> z dnia </w:t>
      </w:r>
      <w:r w:rsidR="00EC4539">
        <w:rPr>
          <w:rFonts w:ascii="Arial" w:hAnsi="Arial"/>
          <w:sz w:val="20"/>
        </w:rPr>
        <w:t>12</w:t>
      </w:r>
      <w:r w:rsidRPr="000E1BD9">
        <w:rPr>
          <w:rFonts w:ascii="Arial" w:hAnsi="Arial"/>
          <w:sz w:val="20"/>
        </w:rPr>
        <w:t xml:space="preserve"> </w:t>
      </w:r>
      <w:r w:rsidR="00D46A0B">
        <w:rPr>
          <w:rFonts w:ascii="Arial" w:hAnsi="Arial"/>
          <w:sz w:val="20"/>
        </w:rPr>
        <w:t>maja</w:t>
      </w:r>
      <w:r w:rsidR="004A62B4">
        <w:rPr>
          <w:rFonts w:ascii="Arial" w:hAnsi="Arial"/>
          <w:sz w:val="20"/>
        </w:rPr>
        <w:t xml:space="preserve"> 20</w:t>
      </w:r>
      <w:r w:rsidR="00D53E72">
        <w:rPr>
          <w:rFonts w:ascii="Arial" w:hAnsi="Arial"/>
          <w:sz w:val="20"/>
        </w:rPr>
        <w:t>20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 w:rsidR="007B18ED">
        <w:rPr>
          <w:sz w:val="20"/>
        </w:rPr>
        <w:t xml:space="preserve">munalnego w drodze przetargu </w:t>
      </w:r>
      <w:r w:rsidR="00D53E72">
        <w:rPr>
          <w:sz w:val="20"/>
        </w:rPr>
        <w:t>nie</w:t>
      </w:r>
      <w:r w:rsidRPr="000E1BD9">
        <w:rPr>
          <w:sz w:val="20"/>
        </w:rPr>
        <w:t xml:space="preserve">ograniczonego przy ul. </w:t>
      </w:r>
      <w:r w:rsidR="00AD6001">
        <w:rPr>
          <w:sz w:val="20"/>
        </w:rPr>
        <w:t>Piłsudskiego</w:t>
      </w:r>
      <w:r w:rsidR="005C4511">
        <w:rPr>
          <w:sz w:val="20"/>
        </w:rPr>
        <w:t xml:space="preserve">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43"/>
        <w:gridCol w:w="2551"/>
        <w:gridCol w:w="1843"/>
        <w:gridCol w:w="1734"/>
        <w:gridCol w:w="1842"/>
        <w:gridCol w:w="1578"/>
      </w:tblGrid>
      <w:tr w:rsidR="000E1BD9" w:rsidTr="00074191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43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551" w:type="dxa"/>
            <w:vMerge w:val="restart"/>
          </w:tcPr>
          <w:p w:rsidR="000E1BD9" w:rsidRPr="00C5349C" w:rsidRDefault="000E1BD9" w:rsidP="005305FA">
            <w:pPr>
              <w:pStyle w:val="Tytu"/>
              <w:rPr>
                <w:rFonts w:ascii="Arial" w:hAnsi="Arial"/>
                <w:sz w:val="20"/>
              </w:rPr>
            </w:pPr>
            <w:r w:rsidRPr="00C5349C">
              <w:rPr>
                <w:rFonts w:ascii="Arial" w:hAnsi="Arial"/>
                <w:sz w:val="20"/>
              </w:rPr>
              <w:t xml:space="preserve">Przeznaczenie gruntu w planie </w:t>
            </w:r>
            <w:proofErr w:type="spellStart"/>
            <w:r w:rsidRPr="00C5349C">
              <w:rPr>
                <w:rFonts w:ascii="Arial" w:hAnsi="Arial"/>
                <w:sz w:val="20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 w:rsidRPr="00C5349C">
              <w:rPr>
                <w:rFonts w:ascii="Arial" w:hAnsi="Arial"/>
                <w:sz w:val="20"/>
              </w:rPr>
              <w:t>nia</w:t>
            </w:r>
            <w:proofErr w:type="spellEnd"/>
            <w:r w:rsidRPr="00C5349C">
              <w:rPr>
                <w:rFonts w:ascii="Arial" w:hAnsi="Arial"/>
                <w:sz w:val="20"/>
              </w:rPr>
              <w:t xml:space="preserve"> przestrzennego</w:t>
            </w:r>
          </w:p>
        </w:tc>
        <w:tc>
          <w:tcPr>
            <w:tcW w:w="1843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1734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074191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43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0E1BD9" w:rsidRPr="00C5349C" w:rsidRDefault="000E1BD9" w:rsidP="005305FA">
            <w:pPr>
              <w:jc w:val="center"/>
              <w:rPr>
                <w:b/>
                <w:sz w:val="20"/>
              </w:rPr>
            </w:pPr>
            <w:r w:rsidRPr="00C5349C">
              <w:rPr>
                <w:b/>
                <w:sz w:val="20"/>
              </w:rPr>
              <w:t xml:space="preserve">Termin </w:t>
            </w:r>
            <w:proofErr w:type="spellStart"/>
            <w:r w:rsidRPr="00C5349C">
              <w:rPr>
                <w:b/>
                <w:sz w:val="20"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 w:rsidRPr="00C5349C">
              <w:rPr>
                <w:b/>
                <w:sz w:val="20"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34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074191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43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734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074191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43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51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3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4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074191">
        <w:trPr>
          <w:cantSplit/>
          <w:trHeight w:val="1688"/>
          <w:jc w:val="center"/>
        </w:trPr>
        <w:tc>
          <w:tcPr>
            <w:tcW w:w="1238" w:type="dxa"/>
          </w:tcPr>
          <w:p w:rsidR="000E1BD9" w:rsidRPr="008E2168" w:rsidRDefault="000E1BD9" w:rsidP="005305FA">
            <w:pPr>
              <w:jc w:val="center"/>
              <w:rPr>
                <w:b/>
              </w:rPr>
            </w:pPr>
            <w:r w:rsidRPr="008E2168">
              <w:rPr>
                <w:b/>
              </w:rPr>
              <w:t xml:space="preserve">Żagań ul. </w:t>
            </w:r>
          </w:p>
          <w:p w:rsidR="000E1BD9" w:rsidRPr="0097258F" w:rsidRDefault="00155579" w:rsidP="00155579">
            <w:pPr>
              <w:jc w:val="center"/>
            </w:pPr>
            <w:r w:rsidRPr="008E2168">
              <w:rPr>
                <w:b/>
              </w:rPr>
              <w:t>Piłsudskiego</w:t>
            </w:r>
            <w:r w:rsidR="00FE7A44">
              <w:t xml:space="preserve"> </w:t>
            </w:r>
          </w:p>
        </w:tc>
        <w:tc>
          <w:tcPr>
            <w:tcW w:w="4843" w:type="dxa"/>
            <w:vMerge w:val="restart"/>
          </w:tcPr>
          <w:p w:rsidR="000E1BD9" w:rsidRPr="00496C96" w:rsidRDefault="00155579" w:rsidP="00D53E7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</w:t>
            </w:r>
            <w:r w:rsidR="009D33A8">
              <w:rPr>
                <w:color w:val="000000"/>
                <w:sz w:val="20"/>
              </w:rPr>
              <w:t>niezabudowana położona</w:t>
            </w:r>
            <w:r w:rsidR="00D53E7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przy </w:t>
            </w:r>
            <w:r w:rsidR="00D53E72">
              <w:rPr>
                <w:color w:val="000000"/>
                <w:sz w:val="20"/>
              </w:rPr>
              <w:t xml:space="preserve">wschodniej granicy Miasta Żagań. Usytuowana </w:t>
            </w:r>
            <w:r w:rsidR="00B71058">
              <w:rPr>
                <w:color w:val="000000"/>
                <w:sz w:val="20"/>
              </w:rPr>
              <w:t xml:space="preserve">jest </w:t>
            </w:r>
            <w:r w:rsidR="00D53E72">
              <w:rPr>
                <w:color w:val="000000"/>
                <w:sz w:val="20"/>
              </w:rPr>
              <w:t xml:space="preserve">przy ul. Piłsudskiego. Kształt </w:t>
            </w:r>
            <w:r w:rsidR="007D14BD">
              <w:rPr>
                <w:color w:val="000000"/>
                <w:sz w:val="20"/>
              </w:rPr>
              <w:t xml:space="preserve">działki </w:t>
            </w:r>
            <w:r w:rsidR="00D53E72">
              <w:rPr>
                <w:color w:val="000000"/>
                <w:sz w:val="20"/>
              </w:rPr>
              <w:t xml:space="preserve">regularny, trapez dający możliwość racjonalnego zagospodarowania. Teren równy. Działka niezabudowana, niezagospodarowana, nieogrodzona. Działka porośnięta drzewami nie stanowiącymi wartości użytkowej. Na terenie działki znajdują się pozostałości – ruiny podziemnych zabudowań wojskowych. W sąsiedztwie rozwijająca się zabudowa mieszkaniowo-usługowa. Przez działkę od strony ulicy przebiega linia elektryczna niskiego napięcia. Działka nie posiada uzbrojenia terenu w urządzenia infrastruktury technicznej. </w:t>
            </w:r>
            <w:r w:rsidR="001E084F">
              <w:rPr>
                <w:color w:val="000000"/>
                <w:sz w:val="20"/>
              </w:rPr>
              <w:t>Położona jest przy drodze w której są zainstalowane sieci uzbrojenia.</w:t>
            </w:r>
          </w:p>
        </w:tc>
        <w:tc>
          <w:tcPr>
            <w:tcW w:w="2551" w:type="dxa"/>
            <w:vMerge w:val="restart"/>
          </w:tcPr>
          <w:p w:rsidR="000E1BD9" w:rsidRPr="005C4511" w:rsidRDefault="003C545A" w:rsidP="00155579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Nieruchomość położona jest w obszarze obowiązywania miejscowego planu za</w:t>
            </w:r>
            <w:r w:rsidR="00155579">
              <w:rPr>
                <w:rFonts w:ascii="Arial" w:hAnsi="Arial" w:cs="Arial"/>
                <w:b w:val="0"/>
                <w:sz w:val="20"/>
              </w:rPr>
              <w:t>gospodarowania przestrzennego terenu pomiędzy ul. J. Piłsudskiego a projektowaną obwodnicą komunikacyjną przyjętego uchwałą nr IX/83/2003 Rady Miasta Żagań z dnia 29 maja 2003 r.</w:t>
            </w:r>
            <w:r w:rsidR="00531D00">
              <w:rPr>
                <w:rFonts w:ascii="Arial" w:hAnsi="Arial" w:cs="Arial"/>
                <w:b w:val="0"/>
                <w:sz w:val="20"/>
              </w:rPr>
              <w:t xml:space="preserve"> i oznaczona jest symbolem 46-U dopuszczającej zabudowę na cele działalności gospodarczej, usługi komercyjne, hurtownie z dopuszczeniem funkcji mieszkaniowej.</w:t>
            </w:r>
          </w:p>
        </w:tc>
        <w:tc>
          <w:tcPr>
            <w:tcW w:w="1843" w:type="dxa"/>
          </w:tcPr>
          <w:p w:rsidR="000E1BD9" w:rsidRDefault="00C5349C" w:rsidP="005305FA">
            <w:pPr>
              <w:rPr>
                <w:color w:val="000000"/>
              </w:rPr>
            </w:pPr>
            <w:r w:rsidRPr="006528AA">
              <w:rPr>
                <w:color w:val="000000"/>
                <w:sz w:val="20"/>
              </w:rPr>
              <w:t>Przetarg ustny nieograniczony</w:t>
            </w:r>
          </w:p>
        </w:tc>
        <w:tc>
          <w:tcPr>
            <w:tcW w:w="1734" w:type="dxa"/>
            <w:vMerge w:val="restart"/>
          </w:tcPr>
          <w:p w:rsidR="00C5349C" w:rsidRPr="00C5349C" w:rsidRDefault="00C5349C" w:rsidP="00C5349C">
            <w:pPr>
              <w:jc w:val="center"/>
              <w:rPr>
                <w:rFonts w:cs="Arial"/>
                <w:color w:val="000000"/>
                <w:sz w:val="20"/>
              </w:rPr>
            </w:pPr>
            <w:r w:rsidRPr="00C5349C">
              <w:rPr>
                <w:rFonts w:cs="Arial"/>
                <w:color w:val="000000"/>
                <w:sz w:val="20"/>
              </w:rPr>
              <w:t>Wnioski można składać ciągu 6 tygodni licząc od dnia wywieszenia wykazu.</w:t>
            </w:r>
          </w:p>
          <w:p w:rsidR="00C5349C" w:rsidRPr="00C5349C" w:rsidRDefault="00C5349C" w:rsidP="00C5349C">
            <w:pPr>
              <w:jc w:val="center"/>
              <w:rPr>
                <w:rFonts w:cs="Arial"/>
                <w:color w:val="000000"/>
                <w:sz w:val="20"/>
              </w:rPr>
            </w:pPr>
            <w:r w:rsidRPr="00C5349C">
              <w:rPr>
                <w:rFonts w:cs="Arial"/>
                <w:color w:val="000000"/>
                <w:sz w:val="20"/>
              </w:rPr>
              <w:t>Wnioski mogą składać osoby którym przysługuje pierwszeństwo w nabyciu nieruchomości na podstawie art. 34 ust. 1 pkt 1 i pkt 2 ustawy o gospodarce nieruchomościami (</w:t>
            </w:r>
            <w:proofErr w:type="spellStart"/>
            <w:r w:rsidRPr="00C5349C">
              <w:rPr>
                <w:rFonts w:cs="Arial"/>
                <w:color w:val="000000"/>
                <w:sz w:val="20"/>
              </w:rPr>
              <w:t>t.j</w:t>
            </w:r>
            <w:proofErr w:type="spellEnd"/>
            <w:r w:rsidRPr="00C5349C">
              <w:rPr>
                <w:rFonts w:cs="Arial"/>
                <w:color w:val="000000"/>
                <w:sz w:val="20"/>
              </w:rPr>
              <w:t xml:space="preserve">. </w:t>
            </w:r>
            <w:r w:rsidRPr="00C5349C">
              <w:rPr>
                <w:rFonts w:cs="Arial"/>
                <w:sz w:val="20"/>
              </w:rPr>
              <w:t>Dz.U.2020.65 z późn.zm</w:t>
            </w:r>
            <w:r w:rsidRPr="00C5349C">
              <w:rPr>
                <w:rFonts w:cs="Arial"/>
                <w:color w:val="000000"/>
                <w:sz w:val="20"/>
              </w:rPr>
              <w:t>)</w:t>
            </w:r>
          </w:p>
          <w:p w:rsidR="00C5349C" w:rsidRPr="00C5349C" w:rsidRDefault="00C5349C" w:rsidP="00C5349C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5518C7" w:rsidP="005518C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370.0</w:t>
            </w:r>
            <w:r w:rsidR="004A62B4">
              <w:rPr>
                <w:b/>
                <w:color w:val="000000"/>
              </w:rPr>
              <w:t>00</w:t>
            </w:r>
            <w:r w:rsidR="00FE7A44">
              <w:rPr>
                <w:b/>
                <w:color w:val="000000"/>
              </w:rPr>
              <w:t>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074191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4A62B4" w:rsidP="00155579">
            <w:pPr>
              <w:pStyle w:val="Nagwek3"/>
            </w:pPr>
            <w:r>
              <w:t>KW ZG1G/000</w:t>
            </w:r>
            <w:r w:rsidR="00155579">
              <w:t>39427/9</w:t>
            </w:r>
          </w:p>
        </w:tc>
        <w:tc>
          <w:tcPr>
            <w:tcW w:w="4843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E1BD9" w:rsidRDefault="000E1BD9" w:rsidP="005305FA"/>
        </w:tc>
        <w:tc>
          <w:tcPr>
            <w:tcW w:w="1843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1734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074191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155579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3961/2</w:t>
            </w:r>
          </w:p>
          <w:p w:rsidR="000E1BD9" w:rsidRPr="003D5C60" w:rsidRDefault="00155579" w:rsidP="003D5C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3364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43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0E1BD9" w:rsidRDefault="000E1BD9" w:rsidP="005305FA"/>
        </w:tc>
        <w:tc>
          <w:tcPr>
            <w:tcW w:w="1843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1734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D53E72" w:rsidP="000E1BD9">
      <w:pPr>
        <w:jc w:val="both"/>
      </w:pPr>
      <w:r>
        <w:t xml:space="preserve"> </w:t>
      </w:r>
      <w:r w:rsidR="000E1BD9">
        <w:t>Data zdjęcia wykazu: ...............................................</w:t>
      </w:r>
    </w:p>
    <w:p w:rsidR="00531D00" w:rsidRDefault="00531D00" w:rsidP="000E1BD9">
      <w:pPr>
        <w:jc w:val="both"/>
      </w:pPr>
    </w:p>
    <w:p w:rsidR="00531D00" w:rsidRDefault="00531D00" w:rsidP="000E1BD9">
      <w:pPr>
        <w:jc w:val="both"/>
      </w:pPr>
    </w:p>
    <w:p w:rsidR="00531D00" w:rsidRDefault="00531D00" w:rsidP="000E1BD9">
      <w:pPr>
        <w:jc w:val="both"/>
      </w:pPr>
    </w:p>
    <w:p w:rsidR="00531D00" w:rsidRDefault="00531D00" w:rsidP="000E1BD9">
      <w:pPr>
        <w:jc w:val="both"/>
      </w:pPr>
    </w:p>
    <w:p w:rsidR="00531D00" w:rsidRDefault="00531D00" w:rsidP="000E1BD9">
      <w:pPr>
        <w:jc w:val="both"/>
      </w:pPr>
    </w:p>
    <w:p w:rsidR="00021202" w:rsidRDefault="00021202" w:rsidP="00531D00">
      <w:pPr>
        <w:pStyle w:val="Tytu"/>
        <w:ind w:left="3540" w:firstLine="708"/>
        <w:jc w:val="left"/>
        <w:rPr>
          <w:rFonts w:ascii="Arial" w:hAnsi="Arial"/>
          <w:sz w:val="20"/>
        </w:rPr>
      </w:pPr>
    </w:p>
    <w:p w:rsidR="00531D00" w:rsidRPr="000E1BD9" w:rsidRDefault="00531D00" w:rsidP="00531D00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lastRenderedPageBreak/>
        <w:t>WYKAZ NIERUCHOMOŚCI WYZNACZONEJ DO SPRZEDAŻY</w:t>
      </w:r>
    </w:p>
    <w:p w:rsidR="00531D00" w:rsidRPr="000E1BD9" w:rsidRDefault="00531D00" w:rsidP="00531D00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 xml:space="preserve">istrza Miasta Żagań Nr </w:t>
      </w:r>
      <w:r w:rsidR="00EC4539">
        <w:rPr>
          <w:rFonts w:ascii="Arial" w:hAnsi="Arial"/>
          <w:sz w:val="20"/>
        </w:rPr>
        <w:t>131</w:t>
      </w:r>
      <w:r>
        <w:rPr>
          <w:rFonts w:ascii="Arial" w:hAnsi="Arial"/>
          <w:sz w:val="20"/>
        </w:rPr>
        <w:t>/ 20</w:t>
      </w:r>
      <w:r w:rsidR="00D53E72">
        <w:rPr>
          <w:rFonts w:ascii="Arial" w:hAnsi="Arial"/>
          <w:sz w:val="20"/>
        </w:rPr>
        <w:t xml:space="preserve">20 </w:t>
      </w:r>
      <w:r w:rsidRPr="000E1BD9">
        <w:rPr>
          <w:rFonts w:ascii="Arial" w:hAnsi="Arial"/>
          <w:sz w:val="20"/>
        </w:rPr>
        <w:t xml:space="preserve">z dnia </w:t>
      </w:r>
      <w:r w:rsidR="00EC4539">
        <w:rPr>
          <w:rFonts w:ascii="Arial" w:hAnsi="Arial"/>
          <w:sz w:val="20"/>
        </w:rPr>
        <w:t>12</w:t>
      </w:r>
      <w:r w:rsidRPr="000E1BD9">
        <w:rPr>
          <w:rFonts w:ascii="Arial" w:hAnsi="Arial"/>
          <w:sz w:val="20"/>
        </w:rPr>
        <w:t xml:space="preserve"> </w:t>
      </w:r>
      <w:r w:rsidR="00D46A0B">
        <w:rPr>
          <w:rFonts w:ascii="Arial" w:hAnsi="Arial"/>
          <w:sz w:val="20"/>
        </w:rPr>
        <w:t>maja</w:t>
      </w:r>
      <w:r>
        <w:rPr>
          <w:rFonts w:ascii="Arial" w:hAnsi="Arial"/>
          <w:sz w:val="20"/>
        </w:rPr>
        <w:t xml:space="preserve"> 20</w:t>
      </w:r>
      <w:r w:rsidR="00D53E72">
        <w:rPr>
          <w:rFonts w:ascii="Arial" w:hAnsi="Arial"/>
          <w:sz w:val="20"/>
        </w:rPr>
        <w:t>20</w:t>
      </w:r>
      <w:r w:rsidRPr="000E1BD9">
        <w:rPr>
          <w:rFonts w:ascii="Arial" w:hAnsi="Arial"/>
          <w:sz w:val="20"/>
        </w:rPr>
        <w:t xml:space="preserve"> roku</w:t>
      </w:r>
    </w:p>
    <w:p w:rsidR="00531D00" w:rsidRPr="000E1BD9" w:rsidRDefault="00531D00" w:rsidP="00531D00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>
        <w:rPr>
          <w:sz w:val="20"/>
        </w:rPr>
        <w:t xml:space="preserve">munalnego w drodze przetargu </w:t>
      </w:r>
      <w:r w:rsidR="00D53E72">
        <w:rPr>
          <w:sz w:val="20"/>
        </w:rPr>
        <w:t>nie</w:t>
      </w:r>
      <w:r w:rsidRPr="000E1BD9">
        <w:rPr>
          <w:sz w:val="20"/>
        </w:rPr>
        <w:t xml:space="preserve">ograniczonego przy ul. </w:t>
      </w:r>
      <w:r w:rsidR="00AD6001">
        <w:rPr>
          <w:sz w:val="20"/>
        </w:rPr>
        <w:t>Piłsudskiego</w:t>
      </w:r>
      <w:r>
        <w:rPr>
          <w:sz w:val="20"/>
        </w:rPr>
        <w:t xml:space="preserve">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701"/>
        <w:gridCol w:w="2693"/>
        <w:gridCol w:w="1701"/>
        <w:gridCol w:w="1876"/>
        <w:gridCol w:w="1842"/>
        <w:gridCol w:w="1578"/>
      </w:tblGrid>
      <w:tr w:rsidR="00531D00" w:rsidTr="007D14BD">
        <w:trPr>
          <w:cantSplit/>
          <w:trHeight w:val="420"/>
          <w:jc w:val="center"/>
        </w:trPr>
        <w:tc>
          <w:tcPr>
            <w:tcW w:w="1238" w:type="dxa"/>
          </w:tcPr>
          <w:p w:rsidR="00531D00" w:rsidRDefault="00531D00" w:rsidP="005C1B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701" w:type="dxa"/>
            <w:vMerge w:val="restart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693" w:type="dxa"/>
            <w:vMerge w:val="restart"/>
          </w:tcPr>
          <w:p w:rsidR="00531D00" w:rsidRPr="00C5349C" w:rsidRDefault="00531D00" w:rsidP="005C1B5E">
            <w:pPr>
              <w:pStyle w:val="Tytu"/>
              <w:rPr>
                <w:rFonts w:ascii="Arial" w:hAnsi="Arial"/>
                <w:sz w:val="20"/>
              </w:rPr>
            </w:pPr>
            <w:r w:rsidRPr="00C5349C">
              <w:rPr>
                <w:rFonts w:ascii="Arial" w:hAnsi="Arial"/>
                <w:sz w:val="20"/>
              </w:rPr>
              <w:t xml:space="preserve">Przeznaczenie gruntu w planie </w:t>
            </w:r>
            <w:proofErr w:type="spellStart"/>
            <w:r w:rsidRPr="00C5349C">
              <w:rPr>
                <w:rFonts w:ascii="Arial" w:hAnsi="Arial"/>
                <w:sz w:val="20"/>
              </w:rPr>
              <w:t>zagospodarowa</w:t>
            </w:r>
            <w:proofErr w:type="spellEnd"/>
          </w:p>
          <w:p w:rsidR="00531D00" w:rsidRDefault="00531D00" w:rsidP="005C1B5E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 w:rsidRPr="00C5349C">
              <w:rPr>
                <w:rFonts w:ascii="Arial" w:hAnsi="Arial"/>
                <w:sz w:val="20"/>
              </w:rPr>
              <w:t>nia</w:t>
            </w:r>
            <w:proofErr w:type="spellEnd"/>
            <w:r w:rsidRPr="00C5349C">
              <w:rPr>
                <w:rFonts w:ascii="Arial" w:hAnsi="Arial"/>
                <w:sz w:val="20"/>
              </w:rPr>
              <w:t xml:space="preserve"> przestrzennego</w:t>
            </w:r>
          </w:p>
        </w:tc>
        <w:tc>
          <w:tcPr>
            <w:tcW w:w="1701" w:type="dxa"/>
          </w:tcPr>
          <w:p w:rsidR="00531D00" w:rsidRPr="007D14BD" w:rsidRDefault="00531D00" w:rsidP="005C1B5E">
            <w:pPr>
              <w:jc w:val="center"/>
              <w:rPr>
                <w:b/>
                <w:sz w:val="20"/>
              </w:rPr>
            </w:pPr>
            <w:r w:rsidRPr="007D14BD">
              <w:rPr>
                <w:b/>
                <w:sz w:val="20"/>
              </w:rPr>
              <w:t xml:space="preserve">Forma zbycia </w:t>
            </w:r>
          </w:p>
        </w:tc>
        <w:tc>
          <w:tcPr>
            <w:tcW w:w="1876" w:type="dxa"/>
            <w:vMerge w:val="restart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531D00" w:rsidTr="007D14BD">
        <w:trPr>
          <w:cantSplit/>
          <w:trHeight w:val="420"/>
          <w:jc w:val="center"/>
        </w:trPr>
        <w:tc>
          <w:tcPr>
            <w:tcW w:w="1238" w:type="dxa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701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531D00" w:rsidRDefault="00531D00" w:rsidP="005C1B5E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Merge w:val="restart"/>
          </w:tcPr>
          <w:p w:rsidR="00531D00" w:rsidRPr="00C5349C" w:rsidRDefault="00531D00" w:rsidP="005C1B5E">
            <w:pPr>
              <w:jc w:val="center"/>
              <w:rPr>
                <w:b/>
                <w:sz w:val="20"/>
              </w:rPr>
            </w:pPr>
            <w:r w:rsidRPr="00C5349C">
              <w:rPr>
                <w:b/>
                <w:sz w:val="20"/>
              </w:rPr>
              <w:t xml:space="preserve">Termin </w:t>
            </w:r>
            <w:proofErr w:type="spellStart"/>
            <w:r w:rsidRPr="00C5349C">
              <w:rPr>
                <w:b/>
                <w:sz w:val="20"/>
              </w:rPr>
              <w:t>zagospodarowa</w:t>
            </w:r>
            <w:proofErr w:type="spellEnd"/>
          </w:p>
          <w:p w:rsidR="00531D00" w:rsidRDefault="00531D00" w:rsidP="005C1B5E">
            <w:pPr>
              <w:jc w:val="center"/>
              <w:rPr>
                <w:b/>
              </w:rPr>
            </w:pPr>
            <w:proofErr w:type="spellStart"/>
            <w:r w:rsidRPr="00C5349C">
              <w:rPr>
                <w:b/>
                <w:sz w:val="20"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76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</w:tr>
      <w:tr w:rsidR="00531D00" w:rsidTr="007D14BD">
        <w:trPr>
          <w:cantSplit/>
          <w:trHeight w:val="420"/>
          <w:jc w:val="center"/>
        </w:trPr>
        <w:tc>
          <w:tcPr>
            <w:tcW w:w="1238" w:type="dxa"/>
          </w:tcPr>
          <w:p w:rsidR="00531D00" w:rsidRDefault="00531D00" w:rsidP="005C1B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701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531D00" w:rsidRDefault="00531D00" w:rsidP="005C1B5E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1876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</w:tr>
      <w:tr w:rsidR="00531D00" w:rsidTr="007D14BD">
        <w:trPr>
          <w:trHeight w:val="202"/>
          <w:jc w:val="center"/>
        </w:trPr>
        <w:tc>
          <w:tcPr>
            <w:tcW w:w="1238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701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3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1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6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31D00" w:rsidTr="007D14BD">
        <w:trPr>
          <w:cantSplit/>
          <w:trHeight w:val="1688"/>
          <w:jc w:val="center"/>
        </w:trPr>
        <w:tc>
          <w:tcPr>
            <w:tcW w:w="1238" w:type="dxa"/>
          </w:tcPr>
          <w:p w:rsidR="00531D00" w:rsidRPr="008E2168" w:rsidRDefault="00531D00" w:rsidP="005C1B5E">
            <w:pPr>
              <w:jc w:val="center"/>
              <w:rPr>
                <w:b/>
              </w:rPr>
            </w:pPr>
            <w:r w:rsidRPr="008E2168">
              <w:rPr>
                <w:b/>
              </w:rPr>
              <w:t xml:space="preserve">Żagań ul. </w:t>
            </w:r>
          </w:p>
          <w:p w:rsidR="00531D00" w:rsidRPr="0097258F" w:rsidRDefault="00531D00" w:rsidP="005C1B5E">
            <w:pPr>
              <w:jc w:val="center"/>
            </w:pPr>
            <w:r w:rsidRPr="008E2168">
              <w:rPr>
                <w:b/>
              </w:rPr>
              <w:t>Piłsudskiego</w:t>
            </w:r>
            <w:r>
              <w:t xml:space="preserve"> </w:t>
            </w:r>
          </w:p>
        </w:tc>
        <w:tc>
          <w:tcPr>
            <w:tcW w:w="4701" w:type="dxa"/>
            <w:vMerge w:val="restart"/>
          </w:tcPr>
          <w:p w:rsidR="00531D00" w:rsidRPr="00496C96" w:rsidRDefault="00C5349C" w:rsidP="005C1B5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</w:t>
            </w:r>
            <w:r w:rsidR="0046584A">
              <w:rPr>
                <w:color w:val="000000"/>
                <w:sz w:val="20"/>
              </w:rPr>
              <w:t xml:space="preserve"> niezabudowana położona</w:t>
            </w:r>
            <w:r>
              <w:rPr>
                <w:color w:val="000000"/>
                <w:sz w:val="20"/>
              </w:rPr>
              <w:t xml:space="preserve"> przy wschodniej granicy Miasta Żagań. Usytuowana </w:t>
            </w:r>
            <w:r w:rsidR="0046584A">
              <w:rPr>
                <w:color w:val="000000"/>
                <w:sz w:val="20"/>
              </w:rPr>
              <w:t xml:space="preserve">jest </w:t>
            </w:r>
            <w:r>
              <w:rPr>
                <w:color w:val="000000"/>
                <w:sz w:val="20"/>
              </w:rPr>
              <w:t>przy ul. Piłsudskiego. Kształt działki regularny, trapez dający możliwość racjonalnego zagospodarowania. Teren równy. Działka niezabudowana, niezagospodarowana, nieogrodzona. Działka porośnięta drzewami nie stanowiącymi wartości użytkowej. Na terenie działki znajdują się pozostałości – ruiny podziemnych zabudowań wojskowych. W sąsiedztwie rozwijająca się zabudowa mieszkaniowo-usługowa. Przez działkę od strony ulicy przebiega linia elektryczna niskiego napięcia. Działka nie posiada uzbrojenia terenu w urządzenia infrastruktury technicznej</w:t>
            </w:r>
            <w:r w:rsidR="001E084F">
              <w:rPr>
                <w:color w:val="000000"/>
                <w:sz w:val="20"/>
              </w:rPr>
              <w:t>. Położona jest przy drodze w której są zainstalowane sieci uzbrojenia.</w:t>
            </w:r>
          </w:p>
        </w:tc>
        <w:tc>
          <w:tcPr>
            <w:tcW w:w="2693" w:type="dxa"/>
            <w:vMerge w:val="restart"/>
          </w:tcPr>
          <w:p w:rsidR="00531D00" w:rsidRPr="005C4511" w:rsidRDefault="00531D00" w:rsidP="005C1B5E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Nieruchomość położona jest w obszarze obowiązywania miejscowego planu zagospodarowania przestrzennego terenu pomiędzy ul. J. Piłsudskiego a projektowaną obwodnicą komunikacyjną przyjętego uchwałą nr IX/83/2003 Rady Miasta Żagań z dnia 29 maja 2003 r. i oznaczona jest symbolem 46-U dopuszczającej zabudowę na cele działalności gospodarczej, usługi komercyjne, hurtownie z dopuszczeniem funkcji mieszkaniowej.</w:t>
            </w:r>
          </w:p>
        </w:tc>
        <w:tc>
          <w:tcPr>
            <w:tcW w:w="1701" w:type="dxa"/>
          </w:tcPr>
          <w:p w:rsidR="00531D00" w:rsidRDefault="00C5349C" w:rsidP="005C1B5E">
            <w:pPr>
              <w:rPr>
                <w:color w:val="000000"/>
              </w:rPr>
            </w:pPr>
            <w:r w:rsidRPr="006528AA">
              <w:rPr>
                <w:color w:val="000000"/>
                <w:sz w:val="20"/>
              </w:rPr>
              <w:t>Przetarg ustny nieograniczony</w:t>
            </w:r>
          </w:p>
        </w:tc>
        <w:tc>
          <w:tcPr>
            <w:tcW w:w="1876" w:type="dxa"/>
            <w:vMerge w:val="restart"/>
          </w:tcPr>
          <w:p w:rsidR="00C5349C" w:rsidRPr="00C5349C" w:rsidRDefault="00C5349C" w:rsidP="00C5349C">
            <w:pPr>
              <w:jc w:val="center"/>
              <w:rPr>
                <w:rFonts w:cs="Arial"/>
                <w:color w:val="000000"/>
                <w:sz w:val="20"/>
              </w:rPr>
            </w:pPr>
            <w:r w:rsidRPr="00C5349C">
              <w:rPr>
                <w:rFonts w:cs="Arial"/>
                <w:color w:val="000000"/>
                <w:sz w:val="20"/>
              </w:rPr>
              <w:t>Wnioski można składać ciągu 6 tygodni licząc od dnia wywieszenia wykazu.</w:t>
            </w:r>
          </w:p>
          <w:p w:rsidR="00C5349C" w:rsidRPr="00C5349C" w:rsidRDefault="00C5349C" w:rsidP="00C5349C">
            <w:pPr>
              <w:jc w:val="center"/>
              <w:rPr>
                <w:rFonts w:cs="Arial"/>
                <w:color w:val="000000"/>
                <w:sz w:val="20"/>
              </w:rPr>
            </w:pPr>
            <w:r w:rsidRPr="00C5349C">
              <w:rPr>
                <w:rFonts w:cs="Arial"/>
                <w:color w:val="000000"/>
                <w:sz w:val="20"/>
              </w:rPr>
              <w:t>Wnioski mogą składać osoby którym przysługuje pierwszeństwo w nabyciu nieruchomości na podstawie art. 34 ust. 1 pkt 1 i pkt 2 ustawy o gospodarce nieruchomościami (</w:t>
            </w:r>
            <w:proofErr w:type="spellStart"/>
            <w:r w:rsidRPr="00C5349C">
              <w:rPr>
                <w:rFonts w:cs="Arial"/>
                <w:color w:val="000000"/>
                <w:sz w:val="20"/>
              </w:rPr>
              <w:t>t.j</w:t>
            </w:r>
            <w:proofErr w:type="spellEnd"/>
            <w:r w:rsidRPr="00C5349C">
              <w:rPr>
                <w:rFonts w:cs="Arial"/>
                <w:color w:val="000000"/>
                <w:sz w:val="20"/>
              </w:rPr>
              <w:t xml:space="preserve">. </w:t>
            </w:r>
            <w:r w:rsidRPr="00C5349C">
              <w:rPr>
                <w:rFonts w:cs="Arial"/>
                <w:sz w:val="20"/>
              </w:rPr>
              <w:t>Dz.U.2020.65 z późn.zm</w:t>
            </w:r>
            <w:r w:rsidRPr="00C5349C">
              <w:rPr>
                <w:rFonts w:cs="Arial"/>
                <w:color w:val="000000"/>
                <w:sz w:val="20"/>
              </w:rPr>
              <w:t>)</w:t>
            </w:r>
          </w:p>
          <w:p w:rsidR="00C5349C" w:rsidRPr="00C5349C" w:rsidRDefault="00C5349C" w:rsidP="00C5349C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531D00" w:rsidRDefault="00531D00" w:rsidP="005C1B5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531D00" w:rsidRDefault="00531D00" w:rsidP="005C1B5E">
            <w:pPr>
              <w:jc w:val="center"/>
              <w:rPr>
                <w:b/>
                <w:color w:val="000000"/>
              </w:rPr>
            </w:pPr>
          </w:p>
          <w:p w:rsidR="00531D00" w:rsidRDefault="00C5349C" w:rsidP="005518C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5518C7">
              <w:rPr>
                <w:b/>
                <w:color w:val="000000"/>
              </w:rPr>
              <w:t>20.0</w:t>
            </w:r>
            <w:r w:rsidR="00531D00">
              <w:rPr>
                <w:b/>
                <w:color w:val="000000"/>
              </w:rPr>
              <w:t>00,00</w:t>
            </w:r>
          </w:p>
        </w:tc>
        <w:tc>
          <w:tcPr>
            <w:tcW w:w="1578" w:type="dxa"/>
            <w:vMerge w:val="restart"/>
          </w:tcPr>
          <w:p w:rsidR="00531D00" w:rsidRDefault="00531D00" w:rsidP="005C1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531D00" w:rsidTr="007D14BD">
        <w:trPr>
          <w:cantSplit/>
          <w:trHeight w:val="1686"/>
          <w:jc w:val="center"/>
        </w:trPr>
        <w:tc>
          <w:tcPr>
            <w:tcW w:w="1238" w:type="dxa"/>
          </w:tcPr>
          <w:p w:rsidR="00531D00" w:rsidRDefault="00531D00" w:rsidP="005C1B5E">
            <w:pPr>
              <w:pStyle w:val="Nagwek3"/>
            </w:pPr>
            <w:r>
              <w:t>KW ZG1G/00039427/9</w:t>
            </w:r>
          </w:p>
        </w:tc>
        <w:tc>
          <w:tcPr>
            <w:tcW w:w="4701" w:type="dxa"/>
            <w:vMerge/>
          </w:tcPr>
          <w:p w:rsidR="00531D00" w:rsidRDefault="00531D00" w:rsidP="005C1B5E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531D00" w:rsidRDefault="00531D00" w:rsidP="005C1B5E"/>
        </w:tc>
        <w:tc>
          <w:tcPr>
            <w:tcW w:w="1701" w:type="dxa"/>
            <w:vMerge w:val="restart"/>
          </w:tcPr>
          <w:p w:rsidR="00531D00" w:rsidRPr="007D14BD" w:rsidRDefault="00531D00" w:rsidP="005C1B5E">
            <w:pPr>
              <w:rPr>
                <w:color w:val="000000"/>
                <w:sz w:val="20"/>
              </w:rPr>
            </w:pPr>
            <w:r w:rsidRPr="007D14BD">
              <w:rPr>
                <w:color w:val="000000"/>
                <w:sz w:val="20"/>
              </w:rPr>
              <w:t>Nie dotyczy</w:t>
            </w:r>
          </w:p>
        </w:tc>
        <w:tc>
          <w:tcPr>
            <w:tcW w:w="1876" w:type="dxa"/>
            <w:vMerge/>
          </w:tcPr>
          <w:p w:rsidR="00531D00" w:rsidRDefault="00531D00" w:rsidP="005C1B5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531D00" w:rsidRDefault="00531D00" w:rsidP="005C1B5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531D00" w:rsidRDefault="00531D00" w:rsidP="005C1B5E">
            <w:pPr>
              <w:jc w:val="center"/>
              <w:rPr>
                <w:color w:val="000000"/>
              </w:rPr>
            </w:pPr>
          </w:p>
        </w:tc>
      </w:tr>
      <w:tr w:rsidR="00531D00" w:rsidTr="007D14BD">
        <w:trPr>
          <w:cantSplit/>
          <w:trHeight w:val="1686"/>
          <w:jc w:val="center"/>
        </w:trPr>
        <w:tc>
          <w:tcPr>
            <w:tcW w:w="1238" w:type="dxa"/>
          </w:tcPr>
          <w:p w:rsidR="00531D00" w:rsidRDefault="00531D00" w:rsidP="005C1B5E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3961/1</w:t>
            </w:r>
          </w:p>
          <w:p w:rsidR="00531D00" w:rsidRPr="003D5C60" w:rsidRDefault="00531D00" w:rsidP="005C1B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2878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701" w:type="dxa"/>
            <w:vMerge/>
          </w:tcPr>
          <w:p w:rsidR="00531D00" w:rsidRDefault="00531D00" w:rsidP="005C1B5E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531D00" w:rsidRDefault="00531D00" w:rsidP="005C1B5E"/>
        </w:tc>
        <w:tc>
          <w:tcPr>
            <w:tcW w:w="1701" w:type="dxa"/>
            <w:vMerge/>
          </w:tcPr>
          <w:p w:rsidR="00531D00" w:rsidRDefault="00531D00" w:rsidP="005C1B5E">
            <w:pPr>
              <w:rPr>
                <w:color w:val="000000"/>
              </w:rPr>
            </w:pPr>
          </w:p>
        </w:tc>
        <w:tc>
          <w:tcPr>
            <w:tcW w:w="1876" w:type="dxa"/>
            <w:vMerge/>
          </w:tcPr>
          <w:p w:rsidR="00531D00" w:rsidRDefault="00531D00" w:rsidP="005C1B5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31D00" w:rsidRDefault="00531D00" w:rsidP="005C1B5E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531D00" w:rsidRDefault="00531D00" w:rsidP="005C1B5E">
            <w:pPr>
              <w:jc w:val="center"/>
              <w:rPr>
                <w:color w:val="000000"/>
              </w:rPr>
            </w:pPr>
          </w:p>
        </w:tc>
      </w:tr>
    </w:tbl>
    <w:p w:rsidR="00531D00" w:rsidRDefault="00531D00" w:rsidP="00531D00">
      <w:pPr>
        <w:jc w:val="both"/>
        <w:rPr>
          <w:sz w:val="24"/>
        </w:rPr>
      </w:pPr>
    </w:p>
    <w:p w:rsidR="00531D00" w:rsidRDefault="00531D00" w:rsidP="00531D00">
      <w:pPr>
        <w:jc w:val="both"/>
      </w:pPr>
      <w:r>
        <w:t xml:space="preserve"> Data wywieszenia wykazu: .......................................</w:t>
      </w:r>
    </w:p>
    <w:p w:rsidR="00531D00" w:rsidRDefault="00531D00" w:rsidP="00531D00">
      <w:pPr>
        <w:jc w:val="both"/>
      </w:pPr>
    </w:p>
    <w:p w:rsidR="00531D00" w:rsidRDefault="00D53E72" w:rsidP="00531D00">
      <w:pPr>
        <w:jc w:val="both"/>
      </w:pPr>
      <w:r>
        <w:t xml:space="preserve"> </w:t>
      </w:r>
      <w:r w:rsidR="00531D00">
        <w:t>Data zdjęcia wykazu: ...............................................</w:t>
      </w:r>
    </w:p>
    <w:p w:rsidR="00531D00" w:rsidRDefault="00531D00" w:rsidP="00531D00">
      <w:pPr>
        <w:jc w:val="both"/>
      </w:pPr>
    </w:p>
    <w:p w:rsidR="00531D00" w:rsidRDefault="00531D00" w:rsidP="00531D00">
      <w:pPr>
        <w:jc w:val="both"/>
      </w:pPr>
    </w:p>
    <w:p w:rsidR="00531D00" w:rsidRDefault="00531D00" w:rsidP="00531D00">
      <w:pPr>
        <w:jc w:val="both"/>
      </w:pPr>
    </w:p>
    <w:p w:rsidR="00531D00" w:rsidRDefault="00531D00" w:rsidP="00531D00">
      <w:pPr>
        <w:jc w:val="both"/>
      </w:pPr>
    </w:p>
    <w:p w:rsidR="00531D00" w:rsidRDefault="00531D00" w:rsidP="00531D00">
      <w:pPr>
        <w:jc w:val="both"/>
      </w:pPr>
    </w:p>
    <w:p w:rsidR="00531D00" w:rsidRDefault="00531D00" w:rsidP="00531D00">
      <w:pPr>
        <w:jc w:val="both"/>
      </w:pPr>
    </w:p>
    <w:p w:rsidR="00531D00" w:rsidRPr="000E1BD9" w:rsidRDefault="00531D00" w:rsidP="00531D00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lastRenderedPageBreak/>
        <w:t>WYKAZ NIERUCHOMOŚCI WYZNACZONEJ DO SPRZEDAŻY</w:t>
      </w:r>
    </w:p>
    <w:p w:rsidR="00531D00" w:rsidRPr="000E1BD9" w:rsidRDefault="00531D00" w:rsidP="00531D00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 xml:space="preserve">istrza Miasta Żagań Nr </w:t>
      </w:r>
      <w:r w:rsidR="00EC4539">
        <w:rPr>
          <w:rFonts w:ascii="Arial" w:hAnsi="Arial"/>
          <w:sz w:val="20"/>
        </w:rPr>
        <w:t>133</w:t>
      </w:r>
      <w:bookmarkStart w:id="0" w:name="_GoBack"/>
      <w:bookmarkEnd w:id="0"/>
      <w:r>
        <w:rPr>
          <w:rFonts w:ascii="Arial" w:hAnsi="Arial"/>
          <w:sz w:val="20"/>
        </w:rPr>
        <w:t>/ 20</w:t>
      </w:r>
      <w:r w:rsidR="00D53E72">
        <w:rPr>
          <w:rFonts w:ascii="Arial" w:hAnsi="Arial"/>
          <w:sz w:val="20"/>
        </w:rPr>
        <w:t xml:space="preserve">20 </w:t>
      </w:r>
      <w:r w:rsidRPr="000E1BD9">
        <w:rPr>
          <w:rFonts w:ascii="Arial" w:hAnsi="Arial"/>
          <w:sz w:val="20"/>
        </w:rPr>
        <w:t xml:space="preserve">z dnia </w:t>
      </w:r>
      <w:r w:rsidR="00EC4539">
        <w:rPr>
          <w:rFonts w:ascii="Arial" w:hAnsi="Arial"/>
          <w:sz w:val="20"/>
        </w:rPr>
        <w:t>12</w:t>
      </w:r>
      <w:r w:rsidRPr="000E1BD9">
        <w:rPr>
          <w:rFonts w:ascii="Arial" w:hAnsi="Arial"/>
          <w:sz w:val="20"/>
        </w:rPr>
        <w:t xml:space="preserve"> </w:t>
      </w:r>
      <w:r w:rsidR="00D46A0B">
        <w:rPr>
          <w:rFonts w:ascii="Arial" w:hAnsi="Arial"/>
          <w:sz w:val="20"/>
        </w:rPr>
        <w:t>maja</w:t>
      </w:r>
      <w:r>
        <w:rPr>
          <w:rFonts w:ascii="Arial" w:hAnsi="Arial"/>
          <w:sz w:val="20"/>
        </w:rPr>
        <w:t xml:space="preserve"> 20</w:t>
      </w:r>
      <w:r w:rsidR="00D53E72">
        <w:rPr>
          <w:rFonts w:ascii="Arial" w:hAnsi="Arial"/>
          <w:sz w:val="20"/>
        </w:rPr>
        <w:t>20</w:t>
      </w:r>
      <w:r w:rsidRPr="000E1BD9">
        <w:rPr>
          <w:rFonts w:ascii="Arial" w:hAnsi="Arial"/>
          <w:sz w:val="20"/>
        </w:rPr>
        <w:t xml:space="preserve"> roku</w:t>
      </w:r>
    </w:p>
    <w:p w:rsidR="00531D00" w:rsidRPr="000E1BD9" w:rsidRDefault="00531D00" w:rsidP="00531D00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>
        <w:rPr>
          <w:sz w:val="20"/>
        </w:rPr>
        <w:t xml:space="preserve">munalnego w drodze przetargu </w:t>
      </w:r>
      <w:r w:rsidR="00D53E72">
        <w:rPr>
          <w:sz w:val="20"/>
        </w:rPr>
        <w:t>nie</w:t>
      </w:r>
      <w:r w:rsidRPr="000E1BD9">
        <w:rPr>
          <w:sz w:val="20"/>
        </w:rPr>
        <w:t xml:space="preserve">ograniczonego przy ul. </w:t>
      </w:r>
      <w:r w:rsidR="00AD6001">
        <w:rPr>
          <w:sz w:val="20"/>
        </w:rPr>
        <w:t>Piłsudskiego</w:t>
      </w:r>
      <w:r>
        <w:rPr>
          <w:sz w:val="20"/>
        </w:rPr>
        <w:t xml:space="preserve">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984"/>
        <w:gridCol w:w="2410"/>
        <w:gridCol w:w="1701"/>
        <w:gridCol w:w="1876"/>
        <w:gridCol w:w="1842"/>
        <w:gridCol w:w="1578"/>
      </w:tblGrid>
      <w:tr w:rsidR="00531D00" w:rsidTr="00025D94">
        <w:trPr>
          <w:cantSplit/>
          <w:trHeight w:val="420"/>
          <w:jc w:val="center"/>
        </w:trPr>
        <w:tc>
          <w:tcPr>
            <w:tcW w:w="1238" w:type="dxa"/>
          </w:tcPr>
          <w:p w:rsidR="00531D00" w:rsidRDefault="00531D00" w:rsidP="005C1B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984" w:type="dxa"/>
            <w:vMerge w:val="restart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410" w:type="dxa"/>
            <w:vMerge w:val="restart"/>
          </w:tcPr>
          <w:p w:rsidR="00531D00" w:rsidRPr="00C5349C" w:rsidRDefault="00531D00" w:rsidP="005C1B5E">
            <w:pPr>
              <w:pStyle w:val="Tytu"/>
              <w:rPr>
                <w:rFonts w:ascii="Arial" w:hAnsi="Arial"/>
                <w:sz w:val="20"/>
              </w:rPr>
            </w:pPr>
            <w:r w:rsidRPr="00C5349C">
              <w:rPr>
                <w:rFonts w:ascii="Arial" w:hAnsi="Arial"/>
                <w:sz w:val="20"/>
              </w:rPr>
              <w:t xml:space="preserve">Przeznaczenie gruntu w planie </w:t>
            </w:r>
            <w:proofErr w:type="spellStart"/>
            <w:r w:rsidRPr="00C5349C">
              <w:rPr>
                <w:rFonts w:ascii="Arial" w:hAnsi="Arial"/>
                <w:sz w:val="20"/>
              </w:rPr>
              <w:t>zagospodarowa</w:t>
            </w:r>
            <w:proofErr w:type="spellEnd"/>
          </w:p>
          <w:p w:rsidR="00531D00" w:rsidRDefault="00531D00" w:rsidP="005C1B5E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 w:rsidRPr="00C5349C">
              <w:rPr>
                <w:rFonts w:ascii="Arial" w:hAnsi="Arial"/>
                <w:sz w:val="20"/>
              </w:rPr>
              <w:t>nia</w:t>
            </w:r>
            <w:proofErr w:type="spellEnd"/>
            <w:r w:rsidRPr="00C5349C">
              <w:rPr>
                <w:rFonts w:ascii="Arial" w:hAnsi="Arial"/>
                <w:sz w:val="20"/>
              </w:rPr>
              <w:t xml:space="preserve"> przestrzennego</w:t>
            </w:r>
          </w:p>
        </w:tc>
        <w:tc>
          <w:tcPr>
            <w:tcW w:w="1701" w:type="dxa"/>
          </w:tcPr>
          <w:p w:rsidR="00531D00" w:rsidRPr="00C5349C" w:rsidRDefault="00531D00" w:rsidP="005C1B5E">
            <w:pPr>
              <w:jc w:val="center"/>
              <w:rPr>
                <w:b/>
                <w:sz w:val="20"/>
              </w:rPr>
            </w:pPr>
            <w:r w:rsidRPr="00C5349C">
              <w:rPr>
                <w:b/>
                <w:sz w:val="20"/>
              </w:rPr>
              <w:t xml:space="preserve">Forma zbycia </w:t>
            </w:r>
          </w:p>
        </w:tc>
        <w:tc>
          <w:tcPr>
            <w:tcW w:w="1876" w:type="dxa"/>
            <w:vMerge w:val="restart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531D00" w:rsidTr="00025D94">
        <w:trPr>
          <w:cantSplit/>
          <w:trHeight w:val="420"/>
          <w:jc w:val="center"/>
        </w:trPr>
        <w:tc>
          <w:tcPr>
            <w:tcW w:w="1238" w:type="dxa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984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531D00" w:rsidRDefault="00531D00" w:rsidP="005C1B5E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Merge w:val="restart"/>
          </w:tcPr>
          <w:p w:rsidR="00531D00" w:rsidRPr="00C5349C" w:rsidRDefault="00531D00" w:rsidP="005C1B5E">
            <w:pPr>
              <w:jc w:val="center"/>
              <w:rPr>
                <w:b/>
                <w:sz w:val="20"/>
              </w:rPr>
            </w:pPr>
            <w:r w:rsidRPr="00C5349C">
              <w:rPr>
                <w:b/>
                <w:sz w:val="20"/>
              </w:rPr>
              <w:t xml:space="preserve">Termin </w:t>
            </w:r>
            <w:proofErr w:type="spellStart"/>
            <w:r w:rsidRPr="00C5349C">
              <w:rPr>
                <w:b/>
                <w:sz w:val="20"/>
              </w:rPr>
              <w:t>zagospodarowa</w:t>
            </w:r>
            <w:proofErr w:type="spellEnd"/>
          </w:p>
          <w:p w:rsidR="00531D00" w:rsidRDefault="00531D00" w:rsidP="005C1B5E">
            <w:pPr>
              <w:jc w:val="center"/>
              <w:rPr>
                <w:b/>
              </w:rPr>
            </w:pPr>
            <w:proofErr w:type="spellStart"/>
            <w:r w:rsidRPr="00C5349C">
              <w:rPr>
                <w:b/>
                <w:sz w:val="20"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76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</w:tr>
      <w:tr w:rsidR="00531D00" w:rsidTr="00025D94">
        <w:trPr>
          <w:cantSplit/>
          <w:trHeight w:val="420"/>
          <w:jc w:val="center"/>
        </w:trPr>
        <w:tc>
          <w:tcPr>
            <w:tcW w:w="1238" w:type="dxa"/>
          </w:tcPr>
          <w:p w:rsidR="00531D00" w:rsidRDefault="00531D00" w:rsidP="005C1B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984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531D00" w:rsidRDefault="00531D00" w:rsidP="005C1B5E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1876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</w:tr>
      <w:tr w:rsidR="00531D00" w:rsidTr="00025D94">
        <w:trPr>
          <w:trHeight w:val="202"/>
          <w:jc w:val="center"/>
        </w:trPr>
        <w:tc>
          <w:tcPr>
            <w:tcW w:w="1238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984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10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1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6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31D00" w:rsidTr="00025D94">
        <w:trPr>
          <w:cantSplit/>
          <w:trHeight w:val="1688"/>
          <w:jc w:val="center"/>
        </w:trPr>
        <w:tc>
          <w:tcPr>
            <w:tcW w:w="1238" w:type="dxa"/>
          </w:tcPr>
          <w:p w:rsidR="00531D00" w:rsidRPr="008E2168" w:rsidRDefault="00531D00" w:rsidP="005C1B5E">
            <w:pPr>
              <w:jc w:val="center"/>
              <w:rPr>
                <w:b/>
              </w:rPr>
            </w:pPr>
            <w:r w:rsidRPr="008E2168">
              <w:rPr>
                <w:b/>
              </w:rPr>
              <w:t xml:space="preserve">Żagań ul. </w:t>
            </w:r>
          </w:p>
          <w:p w:rsidR="00531D00" w:rsidRPr="0097258F" w:rsidRDefault="00531D00" w:rsidP="005C1B5E">
            <w:pPr>
              <w:jc w:val="center"/>
            </w:pPr>
            <w:r w:rsidRPr="008E2168">
              <w:rPr>
                <w:b/>
              </w:rPr>
              <w:t>Piłsudskiego</w:t>
            </w:r>
            <w:r>
              <w:t xml:space="preserve"> </w:t>
            </w:r>
          </w:p>
        </w:tc>
        <w:tc>
          <w:tcPr>
            <w:tcW w:w="4984" w:type="dxa"/>
            <w:vMerge w:val="restart"/>
          </w:tcPr>
          <w:p w:rsidR="00531D00" w:rsidRPr="00496C96" w:rsidRDefault="007D14BD" w:rsidP="007D14B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</w:t>
            </w:r>
            <w:r w:rsidR="00025D94">
              <w:rPr>
                <w:color w:val="000000"/>
                <w:sz w:val="20"/>
              </w:rPr>
              <w:t>niezabudowana położona</w:t>
            </w:r>
            <w:r>
              <w:rPr>
                <w:color w:val="000000"/>
                <w:sz w:val="20"/>
              </w:rPr>
              <w:t xml:space="preserve"> przy wschodniej granicy Miasta Żagań. Usytuowana</w:t>
            </w:r>
            <w:r w:rsidR="00025D94">
              <w:rPr>
                <w:color w:val="000000"/>
                <w:sz w:val="20"/>
              </w:rPr>
              <w:t xml:space="preserve"> jest </w:t>
            </w:r>
            <w:r>
              <w:rPr>
                <w:color w:val="000000"/>
                <w:sz w:val="20"/>
              </w:rPr>
              <w:t xml:space="preserve"> przy ul. Piłsudskiego. Kształt działki regularny, trapez dający możliwość racjonalnego zagospodarowania. Tere</w:t>
            </w:r>
            <w:r w:rsidR="00025D94">
              <w:rPr>
                <w:color w:val="000000"/>
                <w:sz w:val="20"/>
              </w:rPr>
              <w:t xml:space="preserve">n równy. Działka niezabudowana, </w:t>
            </w:r>
            <w:r>
              <w:rPr>
                <w:color w:val="000000"/>
                <w:sz w:val="20"/>
              </w:rPr>
              <w:t>niezagospodarowana, nieogrodzona. Działka porośnięta drzewami nie stanowiącymi wartości użytkowej. Na terenie działki znajdują się pozostałości – ruiny podziemnych zabudowań wojskowych. W sąsiedztwie rozwijająca się zabudowa mieszkaniowo-usługowa. Działka nie posiada uzbrojenia terenu w urządzenia infrastruktury technicznej</w:t>
            </w:r>
            <w:r w:rsidR="00531D00">
              <w:rPr>
                <w:color w:val="000000"/>
                <w:sz w:val="20"/>
              </w:rPr>
              <w:t>.</w:t>
            </w:r>
            <w:r w:rsidR="001E084F">
              <w:rPr>
                <w:color w:val="000000"/>
                <w:sz w:val="20"/>
              </w:rPr>
              <w:t xml:space="preserve"> Położona jest przy drodze w której są zainstalowane sieci uzbrojenia.</w:t>
            </w:r>
          </w:p>
        </w:tc>
        <w:tc>
          <w:tcPr>
            <w:tcW w:w="2410" w:type="dxa"/>
            <w:vMerge w:val="restart"/>
          </w:tcPr>
          <w:p w:rsidR="00531D00" w:rsidRPr="005C4511" w:rsidRDefault="00531D00" w:rsidP="005C1B5E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Nieruchomość położona jest w obszarze obowiązywania miejscowego planu zagospodarowania przestrzennego terenu pomiędzy ul. J. Piłsudskiego a projektowaną obwodnicą komunikacyjną przyjętego uchwałą nr IX/83/2003 Rady Miasta Żagań z dnia 29 maja 2003 r. i oznaczona jest symbolem 46-U dopuszczającej zabudowę na cele działalności gospodarczej, usługi komercyjne, hurtownie z dopuszczeniem funkcji mieszkaniowej.</w:t>
            </w:r>
          </w:p>
        </w:tc>
        <w:tc>
          <w:tcPr>
            <w:tcW w:w="1701" w:type="dxa"/>
          </w:tcPr>
          <w:p w:rsidR="00531D00" w:rsidRDefault="007D14BD" w:rsidP="005C1B5E">
            <w:pPr>
              <w:rPr>
                <w:color w:val="000000"/>
              </w:rPr>
            </w:pPr>
            <w:r w:rsidRPr="006528AA">
              <w:rPr>
                <w:color w:val="000000"/>
                <w:sz w:val="20"/>
              </w:rPr>
              <w:t>Przetarg ustny nieograniczony</w:t>
            </w:r>
          </w:p>
        </w:tc>
        <w:tc>
          <w:tcPr>
            <w:tcW w:w="1876" w:type="dxa"/>
            <w:vMerge w:val="restart"/>
          </w:tcPr>
          <w:p w:rsidR="00D22D41" w:rsidRDefault="00D22D41" w:rsidP="00D22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Wniosek można złożyć w terminie 6 tygodni licząc od dnia wywieszenia wykazu.</w:t>
            </w:r>
          </w:p>
          <w:p w:rsidR="00D22D41" w:rsidRDefault="00D22D41" w:rsidP="00D22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osoby, którym przysługuje pierwszeństwo w nabyciu nieruchomości na podstawie art. 34 ust. 1 pkt 1 i pkt 2 ustawy o gospodarce nieruchomościami </w:t>
            </w:r>
          </w:p>
          <w:p w:rsidR="00531D00" w:rsidRDefault="00531D00" w:rsidP="005C1B5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531D00" w:rsidRDefault="00531D00" w:rsidP="005C1B5E">
            <w:pPr>
              <w:jc w:val="center"/>
              <w:rPr>
                <w:b/>
                <w:color w:val="000000"/>
              </w:rPr>
            </w:pPr>
          </w:p>
          <w:p w:rsidR="00531D00" w:rsidRDefault="00531D00" w:rsidP="005518C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518C7">
              <w:rPr>
                <w:b/>
                <w:color w:val="000000"/>
              </w:rPr>
              <w:t>60.0</w:t>
            </w:r>
            <w:r>
              <w:rPr>
                <w:b/>
                <w:color w:val="000000"/>
              </w:rPr>
              <w:t>00,00</w:t>
            </w:r>
          </w:p>
        </w:tc>
        <w:tc>
          <w:tcPr>
            <w:tcW w:w="1578" w:type="dxa"/>
            <w:vMerge w:val="restart"/>
          </w:tcPr>
          <w:p w:rsidR="00531D00" w:rsidRDefault="00531D00" w:rsidP="005C1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531D00" w:rsidTr="00025D94">
        <w:trPr>
          <w:cantSplit/>
          <w:trHeight w:val="1686"/>
          <w:jc w:val="center"/>
        </w:trPr>
        <w:tc>
          <w:tcPr>
            <w:tcW w:w="1238" w:type="dxa"/>
          </w:tcPr>
          <w:p w:rsidR="00531D00" w:rsidRDefault="00531D00" w:rsidP="005C1B5E">
            <w:pPr>
              <w:pStyle w:val="Nagwek3"/>
            </w:pPr>
            <w:r>
              <w:t>KW ZG1G/00039427/9</w:t>
            </w:r>
          </w:p>
        </w:tc>
        <w:tc>
          <w:tcPr>
            <w:tcW w:w="4984" w:type="dxa"/>
            <w:vMerge/>
          </w:tcPr>
          <w:p w:rsidR="00531D00" w:rsidRDefault="00531D00" w:rsidP="005C1B5E">
            <w:p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531D00" w:rsidRDefault="00531D00" w:rsidP="005C1B5E"/>
        </w:tc>
        <w:tc>
          <w:tcPr>
            <w:tcW w:w="1701" w:type="dxa"/>
            <w:vMerge w:val="restart"/>
          </w:tcPr>
          <w:p w:rsidR="00531D00" w:rsidRDefault="00531D00" w:rsidP="005C1B5E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1876" w:type="dxa"/>
            <w:vMerge/>
          </w:tcPr>
          <w:p w:rsidR="00531D00" w:rsidRDefault="00531D00" w:rsidP="005C1B5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531D00" w:rsidRDefault="00531D00" w:rsidP="005C1B5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531D00" w:rsidRDefault="00531D00" w:rsidP="005C1B5E">
            <w:pPr>
              <w:jc w:val="center"/>
              <w:rPr>
                <w:color w:val="000000"/>
              </w:rPr>
            </w:pPr>
          </w:p>
        </w:tc>
      </w:tr>
      <w:tr w:rsidR="00531D00" w:rsidTr="00025D94">
        <w:trPr>
          <w:cantSplit/>
          <w:trHeight w:val="1686"/>
          <w:jc w:val="center"/>
        </w:trPr>
        <w:tc>
          <w:tcPr>
            <w:tcW w:w="1238" w:type="dxa"/>
          </w:tcPr>
          <w:p w:rsidR="00531D00" w:rsidRDefault="00531D00" w:rsidP="005C1B5E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3961/3</w:t>
            </w:r>
          </w:p>
          <w:p w:rsidR="00531D00" w:rsidRPr="003D5C60" w:rsidRDefault="00531D00" w:rsidP="005C1B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1451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984" w:type="dxa"/>
            <w:vMerge/>
          </w:tcPr>
          <w:p w:rsidR="00531D00" w:rsidRDefault="00531D00" w:rsidP="005C1B5E">
            <w:p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531D00" w:rsidRDefault="00531D00" w:rsidP="005C1B5E"/>
        </w:tc>
        <w:tc>
          <w:tcPr>
            <w:tcW w:w="1701" w:type="dxa"/>
            <w:vMerge/>
          </w:tcPr>
          <w:p w:rsidR="00531D00" w:rsidRDefault="00531D00" w:rsidP="005C1B5E">
            <w:pPr>
              <w:rPr>
                <w:color w:val="000000"/>
              </w:rPr>
            </w:pPr>
          </w:p>
        </w:tc>
        <w:tc>
          <w:tcPr>
            <w:tcW w:w="1876" w:type="dxa"/>
            <w:vMerge/>
          </w:tcPr>
          <w:p w:rsidR="00531D00" w:rsidRDefault="00531D00" w:rsidP="005C1B5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31D00" w:rsidRDefault="00531D00" w:rsidP="005C1B5E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531D00" w:rsidRDefault="00531D00" w:rsidP="005C1B5E">
            <w:pPr>
              <w:jc w:val="center"/>
              <w:rPr>
                <w:color w:val="000000"/>
              </w:rPr>
            </w:pPr>
          </w:p>
        </w:tc>
      </w:tr>
    </w:tbl>
    <w:p w:rsidR="00531D00" w:rsidRDefault="00531D00" w:rsidP="00531D00">
      <w:pPr>
        <w:jc w:val="both"/>
        <w:rPr>
          <w:sz w:val="24"/>
        </w:rPr>
      </w:pPr>
    </w:p>
    <w:p w:rsidR="00531D00" w:rsidRDefault="00531D00" w:rsidP="00531D00">
      <w:pPr>
        <w:jc w:val="both"/>
      </w:pPr>
      <w:r>
        <w:t xml:space="preserve"> Data wywieszenia wykazu: .......................................</w:t>
      </w:r>
    </w:p>
    <w:p w:rsidR="00531D00" w:rsidRDefault="00531D00" w:rsidP="00531D00">
      <w:pPr>
        <w:jc w:val="both"/>
      </w:pPr>
    </w:p>
    <w:p w:rsidR="00531D00" w:rsidRDefault="00D53E72" w:rsidP="00531D00">
      <w:pPr>
        <w:jc w:val="both"/>
      </w:pPr>
      <w:r>
        <w:t xml:space="preserve"> </w:t>
      </w:r>
      <w:r w:rsidR="00531D00">
        <w:t>Data zdjęcia wykazu: ...............................................</w:t>
      </w:r>
    </w:p>
    <w:p w:rsidR="00531D00" w:rsidRDefault="00531D00" w:rsidP="00531D00">
      <w:pPr>
        <w:jc w:val="both"/>
      </w:pPr>
    </w:p>
    <w:p w:rsidR="00531D00" w:rsidRDefault="00531D00" w:rsidP="000E1BD9">
      <w:pPr>
        <w:jc w:val="both"/>
      </w:pPr>
    </w:p>
    <w:p w:rsidR="00531D00" w:rsidRDefault="00531D00" w:rsidP="000E1BD9">
      <w:pPr>
        <w:jc w:val="both"/>
      </w:pPr>
    </w:p>
    <w:p w:rsidR="00531D00" w:rsidRDefault="00531D00" w:rsidP="000E1BD9">
      <w:pPr>
        <w:jc w:val="both"/>
      </w:pPr>
    </w:p>
    <w:p w:rsidR="00531D00" w:rsidRDefault="00531D00" w:rsidP="000E1BD9">
      <w:pPr>
        <w:jc w:val="both"/>
      </w:pPr>
    </w:p>
    <w:p w:rsidR="00531D00" w:rsidRDefault="00531D00" w:rsidP="000E1BD9">
      <w:pPr>
        <w:jc w:val="both"/>
      </w:pPr>
    </w:p>
    <w:p w:rsidR="00531D00" w:rsidRDefault="00531D00" w:rsidP="000E1BD9">
      <w:pPr>
        <w:jc w:val="both"/>
      </w:pPr>
    </w:p>
    <w:p w:rsidR="00531D00" w:rsidRDefault="00531D00" w:rsidP="000E1BD9">
      <w:pPr>
        <w:jc w:val="both"/>
      </w:pPr>
    </w:p>
    <w:p w:rsidR="004A62B4" w:rsidRDefault="004A62B4" w:rsidP="000E1BD9">
      <w:pPr>
        <w:jc w:val="both"/>
      </w:pPr>
    </w:p>
    <w:p w:rsidR="004A62B4" w:rsidRDefault="004A62B4" w:rsidP="000E1BD9">
      <w:pPr>
        <w:jc w:val="both"/>
      </w:pPr>
    </w:p>
    <w:p w:rsidR="004A62B4" w:rsidRDefault="004A62B4" w:rsidP="000E1BD9">
      <w:pPr>
        <w:jc w:val="both"/>
      </w:pPr>
    </w:p>
    <w:p w:rsidR="004A62B4" w:rsidRDefault="004A62B4" w:rsidP="000E1BD9">
      <w:pPr>
        <w:jc w:val="both"/>
      </w:pPr>
    </w:p>
    <w:p w:rsidR="004A62B4" w:rsidRDefault="004A62B4" w:rsidP="000E1BD9">
      <w:pPr>
        <w:jc w:val="both"/>
      </w:pPr>
    </w:p>
    <w:sectPr w:rsidR="004A62B4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D9"/>
    <w:rsid w:val="00021202"/>
    <w:rsid w:val="00025D94"/>
    <w:rsid w:val="00074191"/>
    <w:rsid w:val="000E1BD9"/>
    <w:rsid w:val="00106256"/>
    <w:rsid w:val="001338D7"/>
    <w:rsid w:val="00144076"/>
    <w:rsid w:val="00155579"/>
    <w:rsid w:val="0015652A"/>
    <w:rsid w:val="001E084F"/>
    <w:rsid w:val="0025659A"/>
    <w:rsid w:val="00346F81"/>
    <w:rsid w:val="003C545A"/>
    <w:rsid w:val="003D5C60"/>
    <w:rsid w:val="0044259D"/>
    <w:rsid w:val="0046584A"/>
    <w:rsid w:val="004A62B4"/>
    <w:rsid w:val="00531D00"/>
    <w:rsid w:val="005518C7"/>
    <w:rsid w:val="00560BD7"/>
    <w:rsid w:val="005C4511"/>
    <w:rsid w:val="006205CB"/>
    <w:rsid w:val="00655B25"/>
    <w:rsid w:val="006B5C0B"/>
    <w:rsid w:val="007B18ED"/>
    <w:rsid w:val="007D14BD"/>
    <w:rsid w:val="008E2168"/>
    <w:rsid w:val="009D33A8"/>
    <w:rsid w:val="00AB5752"/>
    <w:rsid w:val="00AD6001"/>
    <w:rsid w:val="00B71058"/>
    <w:rsid w:val="00B92793"/>
    <w:rsid w:val="00C5349C"/>
    <w:rsid w:val="00D22D41"/>
    <w:rsid w:val="00D46A0B"/>
    <w:rsid w:val="00D53E72"/>
    <w:rsid w:val="00DC0584"/>
    <w:rsid w:val="00EC4539"/>
    <w:rsid w:val="00EE19B6"/>
    <w:rsid w:val="00F05AB1"/>
    <w:rsid w:val="00F4000B"/>
    <w:rsid w:val="00FA57FF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0F9F0-DF2A-4638-BF5A-D438AE67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14</cp:revision>
  <cp:lastPrinted>2020-04-23T07:12:00Z</cp:lastPrinted>
  <dcterms:created xsi:type="dcterms:W3CDTF">2020-04-15T11:57:00Z</dcterms:created>
  <dcterms:modified xsi:type="dcterms:W3CDTF">2020-05-12T12:49:00Z</dcterms:modified>
</cp:coreProperties>
</file>