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F9" w:rsidRPr="00CE56C8" w:rsidRDefault="00CE56C8" w:rsidP="00CE56C8">
      <w:pPr>
        <w:pStyle w:val="Tytu"/>
        <w:ind w:left="2832" w:firstLine="708"/>
        <w:jc w:val="left"/>
        <w:rPr>
          <w:rFonts w:ascii="Arial" w:hAnsi="Arial"/>
          <w:sz w:val="18"/>
          <w:szCs w:val="18"/>
        </w:rPr>
      </w:pPr>
      <w:r>
        <w:rPr>
          <w:rFonts w:ascii="Arial" w:hAnsi="Arial"/>
          <w:sz w:val="18"/>
          <w:szCs w:val="18"/>
        </w:rPr>
        <w:t xml:space="preserve">                 </w:t>
      </w:r>
      <w:r w:rsidR="00DD02F9" w:rsidRPr="00CE56C8">
        <w:rPr>
          <w:rFonts w:ascii="Arial" w:hAnsi="Arial"/>
          <w:sz w:val="18"/>
          <w:szCs w:val="18"/>
        </w:rPr>
        <w:t>WYKAZ NIERUCHOMOŚCI WYZNACZONEJ DO SPRZEDAŻY</w:t>
      </w:r>
    </w:p>
    <w:p w:rsidR="00DD02F9" w:rsidRPr="00CE56C8" w:rsidRDefault="00DD02F9" w:rsidP="00CE56C8">
      <w:pPr>
        <w:pStyle w:val="Podtytu"/>
        <w:rPr>
          <w:rFonts w:ascii="Arial" w:hAnsi="Arial"/>
          <w:sz w:val="18"/>
          <w:szCs w:val="18"/>
        </w:rPr>
      </w:pPr>
      <w:r w:rsidRPr="00CE56C8">
        <w:rPr>
          <w:rFonts w:ascii="Arial" w:hAnsi="Arial"/>
          <w:sz w:val="18"/>
          <w:szCs w:val="18"/>
        </w:rPr>
        <w:t>Załącznik do Zarządzenia Burm</w:t>
      </w:r>
      <w:r w:rsidR="0077429E" w:rsidRPr="00CE56C8">
        <w:rPr>
          <w:rFonts w:ascii="Arial" w:hAnsi="Arial"/>
          <w:sz w:val="18"/>
          <w:szCs w:val="18"/>
        </w:rPr>
        <w:t>istrza Miasta Żagań Nr .. / 2016 z czerwca 2016</w:t>
      </w:r>
      <w:r w:rsidRPr="00CE56C8">
        <w:rPr>
          <w:rFonts w:ascii="Arial" w:hAnsi="Arial"/>
          <w:sz w:val="18"/>
          <w:szCs w:val="18"/>
        </w:rPr>
        <w:t xml:space="preserve"> roku</w:t>
      </w:r>
    </w:p>
    <w:p w:rsidR="00DD02F9" w:rsidRPr="00CE56C8" w:rsidRDefault="00DD02F9" w:rsidP="00CE56C8">
      <w:pPr>
        <w:jc w:val="center"/>
        <w:rPr>
          <w:sz w:val="18"/>
          <w:szCs w:val="18"/>
        </w:rPr>
      </w:pPr>
      <w:r w:rsidRPr="00CE56C8">
        <w:rPr>
          <w:sz w:val="18"/>
          <w:szCs w:val="18"/>
        </w:rPr>
        <w:t>Na podstawie art.35 ustawy z dnia 21 lipca 1997 r. o gospodarce nieruchomościami Burmistrz Miasta Żagań podaje do publicznej wiadomości informację o wyznaczeniu do sprzedaży gruntu komunalnego w drodze przetargu nieograniczonego przy ul. Armii Krajowej w Żaganiu:</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238"/>
        <w:gridCol w:w="4820"/>
        <w:gridCol w:w="2126"/>
        <w:gridCol w:w="1757"/>
        <w:gridCol w:w="2268"/>
        <w:gridCol w:w="1842"/>
        <w:gridCol w:w="1578"/>
      </w:tblGrid>
      <w:tr w:rsidR="00DD02F9" w:rsidTr="00C9521D">
        <w:trPr>
          <w:cantSplit/>
          <w:trHeight w:val="420"/>
          <w:jc w:val="center"/>
        </w:trPr>
        <w:tc>
          <w:tcPr>
            <w:tcW w:w="1238" w:type="dxa"/>
          </w:tcPr>
          <w:p w:rsidR="00DD02F9" w:rsidRDefault="00DD02F9" w:rsidP="00C9521D">
            <w:pPr>
              <w:jc w:val="center"/>
              <w:rPr>
                <w:b/>
              </w:rPr>
            </w:pPr>
            <w:proofErr w:type="spellStart"/>
            <w:r>
              <w:rPr>
                <w:b/>
              </w:rPr>
              <w:t>Położ</w:t>
            </w:r>
            <w:proofErr w:type="spellEnd"/>
            <w:r>
              <w:rPr>
                <w:b/>
              </w:rPr>
              <w:t>. gruntu</w:t>
            </w:r>
          </w:p>
        </w:tc>
        <w:tc>
          <w:tcPr>
            <w:tcW w:w="4820" w:type="dxa"/>
            <w:vMerge w:val="restart"/>
          </w:tcPr>
          <w:p w:rsidR="00DD02F9" w:rsidRDefault="00DD02F9" w:rsidP="00C9521D">
            <w:pPr>
              <w:jc w:val="center"/>
              <w:rPr>
                <w:b/>
              </w:rPr>
            </w:pPr>
            <w:r>
              <w:rPr>
                <w:b/>
              </w:rPr>
              <w:t>Opis nieruchomości</w:t>
            </w:r>
          </w:p>
        </w:tc>
        <w:tc>
          <w:tcPr>
            <w:tcW w:w="2126" w:type="dxa"/>
            <w:vMerge w:val="restart"/>
          </w:tcPr>
          <w:p w:rsidR="00DD02F9" w:rsidRDefault="00DD02F9" w:rsidP="00C9521D">
            <w:pPr>
              <w:pStyle w:val="Tytu"/>
              <w:rPr>
                <w:rFonts w:ascii="Arial" w:hAnsi="Arial"/>
                <w:sz w:val="22"/>
              </w:rPr>
            </w:pPr>
            <w:r>
              <w:rPr>
                <w:rFonts w:ascii="Arial" w:hAnsi="Arial"/>
                <w:sz w:val="22"/>
              </w:rPr>
              <w:t xml:space="preserve">Przeznaczenie gruntu w planie </w:t>
            </w:r>
            <w:proofErr w:type="spellStart"/>
            <w:r>
              <w:rPr>
                <w:rFonts w:ascii="Arial" w:hAnsi="Arial"/>
                <w:sz w:val="22"/>
              </w:rPr>
              <w:t>zagospodarowa</w:t>
            </w:r>
            <w:proofErr w:type="spellEnd"/>
          </w:p>
          <w:p w:rsidR="00DD02F9" w:rsidRDefault="00DD02F9" w:rsidP="00C9521D">
            <w:pPr>
              <w:pStyle w:val="Tytu"/>
              <w:rPr>
                <w:rFonts w:ascii="Arial" w:hAnsi="Arial"/>
                <w:b w:val="0"/>
                <w:sz w:val="22"/>
              </w:rPr>
            </w:pPr>
            <w:proofErr w:type="spellStart"/>
            <w:r>
              <w:rPr>
                <w:rFonts w:ascii="Arial" w:hAnsi="Arial"/>
                <w:sz w:val="22"/>
              </w:rPr>
              <w:t>nia</w:t>
            </w:r>
            <w:proofErr w:type="spellEnd"/>
            <w:r>
              <w:rPr>
                <w:rFonts w:ascii="Arial" w:hAnsi="Arial"/>
                <w:sz w:val="22"/>
              </w:rPr>
              <w:t xml:space="preserve"> przestrzennego</w:t>
            </w:r>
          </w:p>
        </w:tc>
        <w:tc>
          <w:tcPr>
            <w:tcW w:w="1757" w:type="dxa"/>
          </w:tcPr>
          <w:p w:rsidR="00DD02F9" w:rsidRDefault="00DD02F9" w:rsidP="00C9521D">
            <w:pPr>
              <w:jc w:val="center"/>
              <w:rPr>
                <w:b/>
              </w:rPr>
            </w:pPr>
            <w:r>
              <w:rPr>
                <w:b/>
              </w:rPr>
              <w:t xml:space="preserve">Forma zbycia </w:t>
            </w:r>
          </w:p>
        </w:tc>
        <w:tc>
          <w:tcPr>
            <w:tcW w:w="2268" w:type="dxa"/>
            <w:vMerge w:val="restart"/>
          </w:tcPr>
          <w:p w:rsidR="00DD02F9" w:rsidRDefault="00DD02F9" w:rsidP="00C9521D">
            <w:pPr>
              <w:jc w:val="center"/>
              <w:rPr>
                <w:b/>
              </w:rPr>
            </w:pPr>
            <w:r>
              <w:rPr>
                <w:b/>
              </w:rPr>
              <w:t xml:space="preserve">Termin do złożenia wniosku o pierwszeństwo w nabyciu nieruchomości </w:t>
            </w:r>
          </w:p>
        </w:tc>
        <w:tc>
          <w:tcPr>
            <w:tcW w:w="1842" w:type="dxa"/>
            <w:vMerge w:val="restart"/>
          </w:tcPr>
          <w:p w:rsidR="00DD02F9" w:rsidRDefault="00DD02F9" w:rsidP="00C9521D">
            <w:pPr>
              <w:jc w:val="center"/>
              <w:rPr>
                <w:b/>
              </w:rPr>
            </w:pPr>
            <w:r>
              <w:rPr>
                <w:b/>
              </w:rPr>
              <w:t>Cena nieruchomości [zł]</w:t>
            </w:r>
          </w:p>
        </w:tc>
        <w:tc>
          <w:tcPr>
            <w:tcW w:w="1578" w:type="dxa"/>
            <w:vMerge w:val="restart"/>
          </w:tcPr>
          <w:p w:rsidR="00DD02F9" w:rsidRDefault="00DD02F9" w:rsidP="00C9521D">
            <w:pPr>
              <w:jc w:val="center"/>
              <w:rPr>
                <w:b/>
              </w:rPr>
            </w:pPr>
            <w:r>
              <w:rPr>
                <w:b/>
              </w:rPr>
              <w:t>Sposób zapłaty</w:t>
            </w:r>
          </w:p>
        </w:tc>
      </w:tr>
      <w:tr w:rsidR="00DD02F9" w:rsidTr="00C9521D">
        <w:trPr>
          <w:cantSplit/>
          <w:trHeight w:val="420"/>
          <w:jc w:val="center"/>
        </w:trPr>
        <w:tc>
          <w:tcPr>
            <w:tcW w:w="1238" w:type="dxa"/>
          </w:tcPr>
          <w:p w:rsidR="00DD02F9" w:rsidRDefault="00DD02F9" w:rsidP="00C9521D">
            <w:pPr>
              <w:jc w:val="center"/>
              <w:rPr>
                <w:b/>
              </w:rPr>
            </w:pPr>
            <w:r>
              <w:rPr>
                <w:b/>
              </w:rPr>
              <w:t>Nr KW</w:t>
            </w:r>
          </w:p>
        </w:tc>
        <w:tc>
          <w:tcPr>
            <w:tcW w:w="4820" w:type="dxa"/>
            <w:vMerge/>
          </w:tcPr>
          <w:p w:rsidR="00DD02F9" w:rsidRDefault="00DD02F9" w:rsidP="00C9521D">
            <w:pPr>
              <w:jc w:val="center"/>
              <w:rPr>
                <w:b/>
              </w:rPr>
            </w:pPr>
          </w:p>
        </w:tc>
        <w:tc>
          <w:tcPr>
            <w:tcW w:w="2126" w:type="dxa"/>
            <w:vMerge/>
          </w:tcPr>
          <w:p w:rsidR="00DD02F9" w:rsidRDefault="00DD02F9" w:rsidP="00C9521D">
            <w:pPr>
              <w:pStyle w:val="Tytu"/>
              <w:rPr>
                <w:rFonts w:ascii="Arial" w:hAnsi="Arial"/>
                <w:sz w:val="22"/>
              </w:rPr>
            </w:pPr>
          </w:p>
        </w:tc>
        <w:tc>
          <w:tcPr>
            <w:tcW w:w="1757" w:type="dxa"/>
            <w:vMerge w:val="restart"/>
          </w:tcPr>
          <w:p w:rsidR="00DD02F9" w:rsidRDefault="00DD02F9" w:rsidP="00C9521D">
            <w:pPr>
              <w:jc w:val="center"/>
              <w:rPr>
                <w:b/>
              </w:rPr>
            </w:pPr>
            <w:r>
              <w:rPr>
                <w:b/>
              </w:rPr>
              <w:t xml:space="preserve">Termin </w:t>
            </w:r>
            <w:proofErr w:type="spellStart"/>
            <w:r>
              <w:rPr>
                <w:b/>
              </w:rPr>
              <w:t>zagospodarowa</w:t>
            </w:r>
            <w:proofErr w:type="spellEnd"/>
          </w:p>
          <w:p w:rsidR="00DD02F9" w:rsidRDefault="00DD02F9" w:rsidP="00C9521D">
            <w:pPr>
              <w:jc w:val="center"/>
              <w:rPr>
                <w:b/>
              </w:rPr>
            </w:pPr>
            <w:proofErr w:type="spellStart"/>
            <w:r>
              <w:rPr>
                <w:b/>
              </w:rPr>
              <w:t>nia</w:t>
            </w:r>
            <w:proofErr w:type="spellEnd"/>
            <w:r>
              <w:rPr>
                <w:b/>
              </w:rPr>
              <w:t xml:space="preserve"> </w:t>
            </w:r>
          </w:p>
        </w:tc>
        <w:tc>
          <w:tcPr>
            <w:tcW w:w="2268" w:type="dxa"/>
            <w:vMerge/>
          </w:tcPr>
          <w:p w:rsidR="00DD02F9" w:rsidRDefault="00DD02F9" w:rsidP="00C9521D">
            <w:pPr>
              <w:jc w:val="center"/>
              <w:rPr>
                <w:b/>
              </w:rPr>
            </w:pPr>
          </w:p>
        </w:tc>
        <w:tc>
          <w:tcPr>
            <w:tcW w:w="1842" w:type="dxa"/>
            <w:vMerge/>
          </w:tcPr>
          <w:p w:rsidR="00DD02F9" w:rsidRDefault="00DD02F9" w:rsidP="00C9521D">
            <w:pPr>
              <w:jc w:val="center"/>
              <w:rPr>
                <w:b/>
              </w:rPr>
            </w:pPr>
          </w:p>
        </w:tc>
        <w:tc>
          <w:tcPr>
            <w:tcW w:w="1578" w:type="dxa"/>
            <w:vMerge/>
          </w:tcPr>
          <w:p w:rsidR="00DD02F9" w:rsidRDefault="00DD02F9" w:rsidP="00C9521D">
            <w:pPr>
              <w:jc w:val="center"/>
              <w:rPr>
                <w:b/>
              </w:rPr>
            </w:pPr>
          </w:p>
        </w:tc>
      </w:tr>
      <w:tr w:rsidR="00DD02F9" w:rsidTr="00C9521D">
        <w:trPr>
          <w:cantSplit/>
          <w:trHeight w:val="420"/>
          <w:jc w:val="center"/>
        </w:trPr>
        <w:tc>
          <w:tcPr>
            <w:tcW w:w="1238" w:type="dxa"/>
          </w:tcPr>
          <w:p w:rsidR="00DD02F9" w:rsidRDefault="00DD02F9" w:rsidP="00C9521D">
            <w:pPr>
              <w:jc w:val="center"/>
              <w:rPr>
                <w:b/>
              </w:rPr>
            </w:pPr>
            <w:proofErr w:type="spellStart"/>
            <w:r>
              <w:rPr>
                <w:b/>
              </w:rPr>
              <w:t>Nr,pow</w:t>
            </w:r>
            <w:proofErr w:type="spellEnd"/>
            <w:r>
              <w:rPr>
                <w:b/>
              </w:rPr>
              <w:t xml:space="preserve"> dz.</w:t>
            </w:r>
          </w:p>
        </w:tc>
        <w:tc>
          <w:tcPr>
            <w:tcW w:w="4820" w:type="dxa"/>
            <w:vMerge/>
          </w:tcPr>
          <w:p w:rsidR="00DD02F9" w:rsidRDefault="00DD02F9" w:rsidP="00C9521D">
            <w:pPr>
              <w:jc w:val="center"/>
              <w:rPr>
                <w:b/>
              </w:rPr>
            </w:pPr>
          </w:p>
        </w:tc>
        <w:tc>
          <w:tcPr>
            <w:tcW w:w="2126" w:type="dxa"/>
            <w:vMerge/>
          </w:tcPr>
          <w:p w:rsidR="00DD02F9" w:rsidRDefault="00DD02F9" w:rsidP="00C9521D">
            <w:pPr>
              <w:pStyle w:val="Tytu"/>
              <w:rPr>
                <w:rFonts w:ascii="Arial" w:hAnsi="Arial"/>
                <w:sz w:val="22"/>
              </w:rPr>
            </w:pPr>
          </w:p>
        </w:tc>
        <w:tc>
          <w:tcPr>
            <w:tcW w:w="1757" w:type="dxa"/>
            <w:vMerge/>
          </w:tcPr>
          <w:p w:rsidR="00DD02F9" w:rsidRDefault="00DD02F9" w:rsidP="00C9521D">
            <w:pPr>
              <w:jc w:val="center"/>
              <w:rPr>
                <w:b/>
              </w:rPr>
            </w:pPr>
          </w:p>
        </w:tc>
        <w:tc>
          <w:tcPr>
            <w:tcW w:w="2268" w:type="dxa"/>
            <w:vMerge/>
          </w:tcPr>
          <w:p w:rsidR="00DD02F9" w:rsidRDefault="00DD02F9" w:rsidP="00C9521D">
            <w:pPr>
              <w:jc w:val="center"/>
              <w:rPr>
                <w:b/>
              </w:rPr>
            </w:pPr>
          </w:p>
        </w:tc>
        <w:tc>
          <w:tcPr>
            <w:tcW w:w="1842" w:type="dxa"/>
          </w:tcPr>
          <w:p w:rsidR="00DD02F9" w:rsidRDefault="00DD02F9" w:rsidP="00C9521D">
            <w:pPr>
              <w:jc w:val="center"/>
              <w:rPr>
                <w:b/>
              </w:rPr>
            </w:pPr>
            <w:r>
              <w:rPr>
                <w:b/>
              </w:rPr>
              <w:t>Podatek VAT</w:t>
            </w:r>
          </w:p>
        </w:tc>
        <w:tc>
          <w:tcPr>
            <w:tcW w:w="1578" w:type="dxa"/>
            <w:vMerge/>
          </w:tcPr>
          <w:p w:rsidR="00DD02F9" w:rsidRDefault="00DD02F9" w:rsidP="00C9521D">
            <w:pPr>
              <w:jc w:val="center"/>
              <w:rPr>
                <w:b/>
              </w:rPr>
            </w:pPr>
          </w:p>
        </w:tc>
      </w:tr>
      <w:tr w:rsidR="00DD02F9" w:rsidTr="00C9521D">
        <w:trPr>
          <w:trHeight w:val="202"/>
          <w:jc w:val="center"/>
        </w:trPr>
        <w:tc>
          <w:tcPr>
            <w:tcW w:w="1238" w:type="dxa"/>
          </w:tcPr>
          <w:p w:rsidR="00DD02F9" w:rsidRDefault="00DD02F9" w:rsidP="00C9521D">
            <w:pPr>
              <w:jc w:val="center"/>
              <w:rPr>
                <w:sz w:val="18"/>
              </w:rPr>
            </w:pPr>
            <w:r>
              <w:rPr>
                <w:sz w:val="18"/>
              </w:rPr>
              <w:t xml:space="preserve">1 </w:t>
            </w:r>
          </w:p>
        </w:tc>
        <w:tc>
          <w:tcPr>
            <w:tcW w:w="4820" w:type="dxa"/>
          </w:tcPr>
          <w:p w:rsidR="00DD02F9" w:rsidRDefault="00DD02F9" w:rsidP="00C9521D">
            <w:pPr>
              <w:jc w:val="center"/>
              <w:rPr>
                <w:sz w:val="18"/>
              </w:rPr>
            </w:pPr>
            <w:r>
              <w:rPr>
                <w:sz w:val="18"/>
              </w:rPr>
              <w:t>2</w:t>
            </w:r>
          </w:p>
        </w:tc>
        <w:tc>
          <w:tcPr>
            <w:tcW w:w="2126" w:type="dxa"/>
          </w:tcPr>
          <w:p w:rsidR="00DD02F9" w:rsidRDefault="00DD02F9" w:rsidP="00C9521D">
            <w:pPr>
              <w:jc w:val="center"/>
              <w:rPr>
                <w:sz w:val="18"/>
              </w:rPr>
            </w:pPr>
            <w:r>
              <w:rPr>
                <w:sz w:val="18"/>
              </w:rPr>
              <w:t>3</w:t>
            </w:r>
          </w:p>
        </w:tc>
        <w:tc>
          <w:tcPr>
            <w:tcW w:w="1757" w:type="dxa"/>
          </w:tcPr>
          <w:p w:rsidR="00DD02F9" w:rsidRDefault="00DD02F9" w:rsidP="00C9521D">
            <w:pPr>
              <w:jc w:val="center"/>
              <w:rPr>
                <w:sz w:val="18"/>
              </w:rPr>
            </w:pPr>
            <w:r>
              <w:rPr>
                <w:sz w:val="18"/>
              </w:rPr>
              <w:t>4</w:t>
            </w:r>
          </w:p>
        </w:tc>
        <w:tc>
          <w:tcPr>
            <w:tcW w:w="2268" w:type="dxa"/>
          </w:tcPr>
          <w:p w:rsidR="00DD02F9" w:rsidRDefault="00DD02F9" w:rsidP="00C9521D">
            <w:pPr>
              <w:jc w:val="center"/>
              <w:rPr>
                <w:sz w:val="18"/>
              </w:rPr>
            </w:pPr>
            <w:r>
              <w:rPr>
                <w:sz w:val="18"/>
              </w:rPr>
              <w:t>5</w:t>
            </w:r>
          </w:p>
        </w:tc>
        <w:tc>
          <w:tcPr>
            <w:tcW w:w="1842" w:type="dxa"/>
          </w:tcPr>
          <w:p w:rsidR="00DD02F9" w:rsidRDefault="00DD02F9" w:rsidP="00C9521D">
            <w:pPr>
              <w:jc w:val="center"/>
              <w:rPr>
                <w:sz w:val="18"/>
              </w:rPr>
            </w:pPr>
            <w:r>
              <w:rPr>
                <w:sz w:val="18"/>
              </w:rPr>
              <w:t>6</w:t>
            </w:r>
          </w:p>
        </w:tc>
        <w:tc>
          <w:tcPr>
            <w:tcW w:w="1578" w:type="dxa"/>
          </w:tcPr>
          <w:p w:rsidR="00DD02F9" w:rsidRDefault="00DD02F9" w:rsidP="00C9521D">
            <w:pPr>
              <w:jc w:val="center"/>
              <w:rPr>
                <w:sz w:val="18"/>
              </w:rPr>
            </w:pPr>
            <w:r>
              <w:rPr>
                <w:sz w:val="18"/>
              </w:rPr>
              <w:t>7</w:t>
            </w:r>
          </w:p>
        </w:tc>
      </w:tr>
      <w:tr w:rsidR="00DD02F9" w:rsidTr="00C9521D">
        <w:trPr>
          <w:cantSplit/>
          <w:trHeight w:val="1688"/>
          <w:jc w:val="center"/>
        </w:trPr>
        <w:tc>
          <w:tcPr>
            <w:tcW w:w="1238" w:type="dxa"/>
          </w:tcPr>
          <w:p w:rsidR="00DD02F9" w:rsidRDefault="00DD02F9" w:rsidP="00C9521D">
            <w:pPr>
              <w:jc w:val="center"/>
            </w:pPr>
            <w:r>
              <w:t xml:space="preserve">Żagań ul. </w:t>
            </w:r>
          </w:p>
          <w:p w:rsidR="00DD02F9" w:rsidRPr="0097258F" w:rsidRDefault="00DD02F9" w:rsidP="00C9521D">
            <w:pPr>
              <w:jc w:val="center"/>
            </w:pPr>
            <w:r>
              <w:t>Armii Krajowej strefa centralna</w:t>
            </w:r>
          </w:p>
        </w:tc>
        <w:tc>
          <w:tcPr>
            <w:tcW w:w="4820" w:type="dxa"/>
            <w:vMerge w:val="restart"/>
          </w:tcPr>
          <w:p w:rsidR="00DD02F9" w:rsidRPr="00CE56C8" w:rsidRDefault="00DD02F9" w:rsidP="00C9521D">
            <w:pPr>
              <w:jc w:val="both"/>
              <w:rPr>
                <w:color w:val="000000"/>
                <w:sz w:val="18"/>
                <w:szCs w:val="18"/>
              </w:rPr>
            </w:pPr>
            <w:r w:rsidRPr="00CE56C8">
              <w:rPr>
                <w:color w:val="000000"/>
                <w:sz w:val="18"/>
                <w:szCs w:val="18"/>
              </w:rPr>
              <w:t xml:space="preserve">Grunt niezabudowany i niezagospodarowany, kształt nieregularny, powierzchnia działki nierówna, ze spadkiem podłużnym w kierunku północno-wschodnim. Powierzchnia nieruchomości porośnięta jest chwastami, drzewami owocowymi będącymi poza obszarem użytkowania, oraz samosiewami innych drzew, które nie wytworzyły materiału użytkowego. Na działce rosną drzewa parkowe: klon, dęby, jesion, modrzew, są to drzewa, które podnoszą walory przyrodniczo-krajobrazowe tej części miasta, a ich usytuowanie nie powinno utrudnić wpasowania projektu budowlanego. Powierzchnia działki wymaga uporządkowania poprzez usunięcia samosiewów drzew nie przedstawiającej wartości użytkowej, fragmentów murów po rozbieranych budynkach gospodarczych, oraz części ogrodzenia przechodzącego przez działkę od strony il. Armii Krajowej. Nieruchomość częściowo ogrodzona ogrodzeniem wykonanym z siatki handlowej na słupach stalowych w ogólnym złym stanie przeznaczonym do rozbiórki. Przez nieruchomość przebiega sieć gazowa niskiego ciśnienia, pozostałe media zainwestowane są w ulicę, przy której położona jest nieruchomość z możliwością podłączenia. </w:t>
            </w:r>
          </w:p>
        </w:tc>
        <w:tc>
          <w:tcPr>
            <w:tcW w:w="2126" w:type="dxa"/>
            <w:vMerge w:val="restart"/>
          </w:tcPr>
          <w:p w:rsidR="00DD02F9" w:rsidRPr="00CE56C8" w:rsidRDefault="00DD02F9" w:rsidP="00C9521D">
            <w:pPr>
              <w:pStyle w:val="Tytu"/>
              <w:jc w:val="both"/>
              <w:rPr>
                <w:rFonts w:ascii="Arial" w:hAnsi="Arial" w:cs="Arial"/>
                <w:b w:val="0"/>
                <w:color w:val="000000"/>
                <w:sz w:val="18"/>
                <w:szCs w:val="18"/>
              </w:rPr>
            </w:pPr>
            <w:r w:rsidRPr="00CE56C8">
              <w:rPr>
                <w:rFonts w:ascii="Arial" w:hAnsi="Arial" w:cs="Arial"/>
                <w:b w:val="0"/>
                <w:color w:val="000000"/>
                <w:sz w:val="18"/>
                <w:szCs w:val="18"/>
              </w:rPr>
              <w:t>Przeznaczenie        terenu zgodnie                    z miejscowym planem zagospodarowania przestrzennego:</w:t>
            </w:r>
          </w:p>
          <w:p w:rsidR="00DD02F9" w:rsidRPr="00CE56C8" w:rsidRDefault="00DD02F9" w:rsidP="00C9521D">
            <w:pPr>
              <w:pStyle w:val="Tytu"/>
              <w:jc w:val="both"/>
              <w:rPr>
                <w:b w:val="0"/>
                <w:color w:val="000000"/>
                <w:sz w:val="18"/>
                <w:szCs w:val="18"/>
              </w:rPr>
            </w:pPr>
            <w:r w:rsidRPr="00CE56C8">
              <w:rPr>
                <w:rFonts w:ascii="Arial" w:hAnsi="Arial" w:cs="Arial"/>
                <w:b w:val="0"/>
                <w:color w:val="000000"/>
                <w:sz w:val="18"/>
                <w:szCs w:val="18"/>
              </w:rPr>
              <w:t>Około 19% powierzchni działki po północno zachodniej stronie przeznaczona jest pod zieleń urządzoną, około 16% powierzchni działki stanowi komunikacja wjazdu od strony ul. Armii Krajowej na teren o przeznaczeniu usługowym (ciąg pieszo jezdny oraz ciąg pieszy), pozostała powierzchnia nieruchomości przeznaczona pod zabudowę usługową</w:t>
            </w:r>
          </w:p>
        </w:tc>
        <w:tc>
          <w:tcPr>
            <w:tcW w:w="1757" w:type="dxa"/>
          </w:tcPr>
          <w:p w:rsidR="00DD02F9" w:rsidRDefault="00DD02F9" w:rsidP="00C9521D">
            <w:pPr>
              <w:rPr>
                <w:color w:val="000000"/>
              </w:rPr>
            </w:pPr>
            <w:r>
              <w:rPr>
                <w:color w:val="000000"/>
              </w:rPr>
              <w:t>Sprzedaż na własność w drodze ustnego przetargu nieograniczonego.</w:t>
            </w:r>
          </w:p>
        </w:tc>
        <w:tc>
          <w:tcPr>
            <w:tcW w:w="2268" w:type="dxa"/>
            <w:vMerge w:val="restart"/>
          </w:tcPr>
          <w:p w:rsidR="00DD02F9" w:rsidRDefault="00DD02F9" w:rsidP="00C9521D">
            <w:pPr>
              <w:jc w:val="center"/>
              <w:rPr>
                <w:color w:val="000000"/>
              </w:rPr>
            </w:pPr>
            <w:r>
              <w:rPr>
                <w:color w:val="000000"/>
              </w:rPr>
              <w:t>Termin złożenia wniosku nie może być krótszy niż 6 tygodni licząc od dnia wywieszenia wykazu.</w:t>
            </w:r>
          </w:p>
          <w:p w:rsidR="00DD02F9" w:rsidRDefault="00DD02F9" w:rsidP="00C9521D">
            <w:pPr>
              <w:jc w:val="center"/>
              <w:rPr>
                <w:color w:val="000000"/>
              </w:rPr>
            </w:pPr>
            <w:r>
              <w:rPr>
                <w:color w:val="000000"/>
              </w:rPr>
              <w:t xml:space="preserve">Wnioski mogą składać osoby którym przysługuje pierwszeństwo w nabyciu nieruchomości na podstawie art. 34 ust. 1 </w:t>
            </w:r>
            <w:proofErr w:type="spellStart"/>
            <w:r>
              <w:rPr>
                <w:color w:val="000000"/>
              </w:rPr>
              <w:t>pkt</w:t>
            </w:r>
            <w:proofErr w:type="spellEnd"/>
            <w:r>
              <w:rPr>
                <w:color w:val="000000"/>
              </w:rPr>
              <w:t xml:space="preserve"> 1 i </w:t>
            </w:r>
            <w:proofErr w:type="spellStart"/>
            <w:r>
              <w:rPr>
                <w:color w:val="000000"/>
              </w:rPr>
              <w:t>pkt</w:t>
            </w:r>
            <w:proofErr w:type="spellEnd"/>
            <w:r>
              <w:rPr>
                <w:color w:val="000000"/>
              </w:rPr>
              <w:t xml:space="preserve"> 2 ustawy o gospodarce nieruchomościami </w:t>
            </w:r>
          </w:p>
          <w:p w:rsidR="00DD02F9" w:rsidRDefault="00DD02F9" w:rsidP="00C9521D">
            <w:pPr>
              <w:jc w:val="center"/>
              <w:rPr>
                <w:b/>
                <w:color w:val="000000"/>
              </w:rPr>
            </w:pPr>
          </w:p>
        </w:tc>
        <w:tc>
          <w:tcPr>
            <w:tcW w:w="1842" w:type="dxa"/>
          </w:tcPr>
          <w:p w:rsidR="00DD02F9" w:rsidRDefault="00DD02F9" w:rsidP="00C9521D">
            <w:pPr>
              <w:jc w:val="center"/>
              <w:rPr>
                <w:b/>
                <w:color w:val="000000"/>
              </w:rPr>
            </w:pPr>
          </w:p>
          <w:p w:rsidR="00DD02F9" w:rsidRDefault="00CE56C8" w:rsidP="00C9521D">
            <w:pPr>
              <w:jc w:val="center"/>
              <w:rPr>
                <w:color w:val="000000"/>
              </w:rPr>
            </w:pPr>
            <w:r>
              <w:rPr>
                <w:b/>
                <w:color w:val="000000"/>
              </w:rPr>
              <w:t>2.2</w:t>
            </w:r>
            <w:r w:rsidR="00DD02F9">
              <w:rPr>
                <w:b/>
                <w:color w:val="000000"/>
              </w:rPr>
              <w:t>00.000,00</w:t>
            </w:r>
          </w:p>
        </w:tc>
        <w:tc>
          <w:tcPr>
            <w:tcW w:w="1578" w:type="dxa"/>
            <w:vMerge w:val="restart"/>
          </w:tcPr>
          <w:p w:rsidR="00DD02F9" w:rsidRDefault="00DD02F9" w:rsidP="00C9521D">
            <w:pPr>
              <w:jc w:val="center"/>
              <w:rPr>
                <w:color w:val="000000"/>
              </w:rPr>
            </w:pPr>
            <w:r>
              <w:rPr>
                <w:color w:val="000000"/>
              </w:rPr>
              <w:t>Należność za grunt nabywca zobowiązany jest zapłacić w całości najpóźniej przed podpisaniem umowy notarialnej.</w:t>
            </w:r>
          </w:p>
        </w:tc>
      </w:tr>
      <w:tr w:rsidR="00DD02F9" w:rsidTr="00C9521D">
        <w:trPr>
          <w:cantSplit/>
          <w:trHeight w:val="1686"/>
          <w:jc w:val="center"/>
        </w:trPr>
        <w:tc>
          <w:tcPr>
            <w:tcW w:w="1238" w:type="dxa"/>
          </w:tcPr>
          <w:p w:rsidR="00DD02F9" w:rsidRDefault="00DD02F9" w:rsidP="00C9521D">
            <w:pPr>
              <w:pStyle w:val="Nagwek3"/>
            </w:pPr>
            <w:r>
              <w:t>KW Nr 57902/5</w:t>
            </w:r>
          </w:p>
        </w:tc>
        <w:tc>
          <w:tcPr>
            <w:tcW w:w="4820" w:type="dxa"/>
            <w:vMerge/>
          </w:tcPr>
          <w:p w:rsidR="00DD02F9" w:rsidRDefault="00DD02F9" w:rsidP="00C9521D">
            <w:pPr>
              <w:rPr>
                <w:color w:val="000000"/>
              </w:rPr>
            </w:pPr>
          </w:p>
        </w:tc>
        <w:tc>
          <w:tcPr>
            <w:tcW w:w="2126" w:type="dxa"/>
            <w:vMerge/>
          </w:tcPr>
          <w:p w:rsidR="00DD02F9" w:rsidRDefault="00DD02F9" w:rsidP="00C9521D"/>
        </w:tc>
        <w:tc>
          <w:tcPr>
            <w:tcW w:w="1757" w:type="dxa"/>
            <w:vMerge w:val="restart"/>
          </w:tcPr>
          <w:p w:rsidR="00DD02F9" w:rsidRDefault="00DD02F9" w:rsidP="00C9521D">
            <w:pPr>
              <w:rPr>
                <w:color w:val="000000"/>
              </w:rPr>
            </w:pPr>
            <w:r>
              <w:rPr>
                <w:color w:val="000000"/>
              </w:rPr>
              <w:t>Nie dotyczy</w:t>
            </w:r>
          </w:p>
        </w:tc>
        <w:tc>
          <w:tcPr>
            <w:tcW w:w="2268" w:type="dxa"/>
            <w:vMerge/>
          </w:tcPr>
          <w:p w:rsidR="00DD02F9" w:rsidRDefault="00DD02F9" w:rsidP="00C9521D">
            <w:pPr>
              <w:jc w:val="center"/>
              <w:rPr>
                <w:color w:val="000000"/>
              </w:rPr>
            </w:pPr>
          </w:p>
        </w:tc>
        <w:tc>
          <w:tcPr>
            <w:tcW w:w="1842" w:type="dxa"/>
            <w:vMerge w:val="restart"/>
          </w:tcPr>
          <w:p w:rsidR="00DD02F9" w:rsidRDefault="00DD02F9" w:rsidP="00C9521D">
            <w:pPr>
              <w:jc w:val="center"/>
              <w:rPr>
                <w:b/>
                <w:color w:val="000000"/>
                <w:sz w:val="24"/>
              </w:rPr>
            </w:pPr>
            <w:r>
              <w:rPr>
                <w:color w:val="000000"/>
              </w:rPr>
              <w:t>Do ceny ustalonej w przetargu dolicza się podatek VAT w wysokości 23 %.</w:t>
            </w:r>
          </w:p>
        </w:tc>
        <w:tc>
          <w:tcPr>
            <w:tcW w:w="1578" w:type="dxa"/>
            <w:vMerge/>
          </w:tcPr>
          <w:p w:rsidR="00DD02F9" w:rsidRDefault="00DD02F9" w:rsidP="00C9521D">
            <w:pPr>
              <w:jc w:val="center"/>
              <w:rPr>
                <w:color w:val="000000"/>
              </w:rPr>
            </w:pPr>
          </w:p>
        </w:tc>
      </w:tr>
      <w:tr w:rsidR="00DD02F9" w:rsidTr="00C9521D">
        <w:trPr>
          <w:cantSplit/>
          <w:trHeight w:val="1686"/>
          <w:jc w:val="center"/>
        </w:trPr>
        <w:tc>
          <w:tcPr>
            <w:tcW w:w="1238" w:type="dxa"/>
          </w:tcPr>
          <w:p w:rsidR="00DD02F9" w:rsidRDefault="00DD02F9" w:rsidP="00C9521D">
            <w:pPr>
              <w:pStyle w:val="Tytu"/>
              <w:rPr>
                <w:rFonts w:ascii="Arial" w:hAnsi="Arial"/>
                <w:color w:val="000000"/>
                <w:sz w:val="22"/>
              </w:rPr>
            </w:pPr>
            <w:r>
              <w:rPr>
                <w:rFonts w:ascii="Arial" w:hAnsi="Arial"/>
                <w:color w:val="000000"/>
                <w:sz w:val="22"/>
              </w:rPr>
              <w:t>3959</w:t>
            </w:r>
          </w:p>
          <w:p w:rsidR="00DD02F9" w:rsidRDefault="00DD02F9" w:rsidP="00C9521D">
            <w:pPr>
              <w:jc w:val="center"/>
              <w:rPr>
                <w:b/>
              </w:rPr>
            </w:pPr>
            <w:r>
              <w:rPr>
                <w:b/>
                <w:color w:val="000000"/>
              </w:rPr>
              <w:t>10562 m</w:t>
            </w:r>
            <w:r>
              <w:rPr>
                <w:b/>
                <w:color w:val="000000"/>
                <w:vertAlign w:val="superscript"/>
              </w:rPr>
              <w:t>2</w:t>
            </w:r>
          </w:p>
        </w:tc>
        <w:tc>
          <w:tcPr>
            <w:tcW w:w="4820" w:type="dxa"/>
            <w:vMerge/>
          </w:tcPr>
          <w:p w:rsidR="00DD02F9" w:rsidRDefault="00DD02F9" w:rsidP="00C9521D">
            <w:pPr>
              <w:rPr>
                <w:color w:val="000000"/>
              </w:rPr>
            </w:pPr>
          </w:p>
        </w:tc>
        <w:tc>
          <w:tcPr>
            <w:tcW w:w="2126" w:type="dxa"/>
            <w:vMerge/>
          </w:tcPr>
          <w:p w:rsidR="00DD02F9" w:rsidRDefault="00DD02F9" w:rsidP="00C9521D"/>
        </w:tc>
        <w:tc>
          <w:tcPr>
            <w:tcW w:w="1757" w:type="dxa"/>
            <w:vMerge/>
          </w:tcPr>
          <w:p w:rsidR="00DD02F9" w:rsidRDefault="00DD02F9" w:rsidP="00C9521D">
            <w:pPr>
              <w:rPr>
                <w:color w:val="000000"/>
              </w:rPr>
            </w:pPr>
          </w:p>
        </w:tc>
        <w:tc>
          <w:tcPr>
            <w:tcW w:w="2268" w:type="dxa"/>
            <w:vMerge/>
          </w:tcPr>
          <w:p w:rsidR="00DD02F9" w:rsidRDefault="00DD02F9" w:rsidP="00C9521D">
            <w:pPr>
              <w:jc w:val="center"/>
              <w:rPr>
                <w:color w:val="000000"/>
              </w:rPr>
            </w:pPr>
          </w:p>
        </w:tc>
        <w:tc>
          <w:tcPr>
            <w:tcW w:w="1842" w:type="dxa"/>
            <w:vMerge/>
          </w:tcPr>
          <w:p w:rsidR="00DD02F9" w:rsidRDefault="00DD02F9" w:rsidP="00C9521D">
            <w:pPr>
              <w:jc w:val="center"/>
              <w:rPr>
                <w:b/>
                <w:color w:val="000000"/>
                <w:sz w:val="24"/>
              </w:rPr>
            </w:pPr>
          </w:p>
        </w:tc>
        <w:tc>
          <w:tcPr>
            <w:tcW w:w="1578" w:type="dxa"/>
            <w:vMerge/>
          </w:tcPr>
          <w:p w:rsidR="00DD02F9" w:rsidRDefault="00DD02F9" w:rsidP="00C9521D">
            <w:pPr>
              <w:jc w:val="center"/>
              <w:rPr>
                <w:color w:val="000000"/>
              </w:rPr>
            </w:pPr>
          </w:p>
        </w:tc>
      </w:tr>
    </w:tbl>
    <w:p w:rsidR="00DD02F9" w:rsidRDefault="00DD02F9" w:rsidP="00DD02F9">
      <w:pPr>
        <w:jc w:val="both"/>
        <w:rPr>
          <w:sz w:val="24"/>
        </w:rPr>
      </w:pPr>
    </w:p>
    <w:p w:rsidR="00DD02F9" w:rsidRDefault="00DD02F9" w:rsidP="00DD02F9">
      <w:pPr>
        <w:jc w:val="both"/>
      </w:pPr>
      <w:r>
        <w:t xml:space="preserve">   Data wywieszenia wykazu: .......................................</w:t>
      </w:r>
    </w:p>
    <w:p w:rsidR="00DD02F9" w:rsidRDefault="00DD02F9" w:rsidP="00DD02F9">
      <w:pPr>
        <w:jc w:val="both"/>
      </w:pPr>
    </w:p>
    <w:p w:rsidR="00DD02F9" w:rsidRDefault="00DD02F9" w:rsidP="00DD02F9">
      <w:pPr>
        <w:jc w:val="both"/>
      </w:pPr>
      <w:r>
        <w:t xml:space="preserve">   Data zdjęcia wykazu: ...............................................</w:t>
      </w:r>
    </w:p>
    <w:p w:rsidR="00DD02F9" w:rsidRDefault="00DD02F9" w:rsidP="00DD02F9">
      <w:pPr>
        <w:pStyle w:val="Tekstprzypisudolnego"/>
        <w:rPr>
          <w:rFonts w:ascii="Arial" w:hAnsi="Arial"/>
          <w:sz w:val="22"/>
        </w:rPr>
      </w:pPr>
      <w:r>
        <w:rPr>
          <w:rFonts w:ascii="Arial" w:hAnsi="Arial"/>
          <w:sz w:val="22"/>
        </w:rPr>
        <w:lastRenderedPageBreak/>
        <w:t xml:space="preserve">   </w:t>
      </w:r>
      <w:proofErr w:type="spellStart"/>
      <w:r>
        <w:rPr>
          <w:rFonts w:ascii="Arial" w:hAnsi="Arial"/>
          <w:sz w:val="22"/>
        </w:rPr>
        <w:t>sp.KK</w:t>
      </w:r>
      <w:proofErr w:type="spellEnd"/>
    </w:p>
    <w:p w:rsidR="00B92793" w:rsidRDefault="00B92793"/>
    <w:sectPr w:rsidR="00B92793" w:rsidSect="00DD02F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D02F9"/>
    <w:rsid w:val="0042643F"/>
    <w:rsid w:val="0077429E"/>
    <w:rsid w:val="008510E8"/>
    <w:rsid w:val="00B92793"/>
    <w:rsid w:val="00CE56C8"/>
    <w:rsid w:val="00DD02F9"/>
    <w:rsid w:val="00F04E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2F9"/>
    <w:pPr>
      <w:spacing w:after="0" w:line="240" w:lineRule="auto"/>
    </w:pPr>
    <w:rPr>
      <w:rFonts w:ascii="Arial" w:eastAsia="Times New Roman" w:hAnsi="Arial" w:cs="Times New Roman"/>
      <w:szCs w:val="20"/>
      <w:lang w:eastAsia="pl-PL"/>
    </w:rPr>
  </w:style>
  <w:style w:type="paragraph" w:styleId="Nagwek3">
    <w:name w:val="heading 3"/>
    <w:basedOn w:val="Normalny"/>
    <w:next w:val="Normalny"/>
    <w:link w:val="Nagwek3Znak"/>
    <w:qFormat/>
    <w:rsid w:val="00DD02F9"/>
    <w:pPr>
      <w:keepNext/>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D02F9"/>
    <w:rPr>
      <w:rFonts w:ascii="Arial" w:eastAsia="Times New Roman" w:hAnsi="Arial" w:cs="Times New Roman"/>
      <w:b/>
      <w:szCs w:val="20"/>
      <w:lang w:eastAsia="pl-PL"/>
    </w:rPr>
  </w:style>
  <w:style w:type="paragraph" w:styleId="Tekstprzypisudolnego">
    <w:name w:val="footnote text"/>
    <w:basedOn w:val="Normalny"/>
    <w:link w:val="TekstprzypisudolnegoZnak"/>
    <w:semiHidden/>
    <w:rsid w:val="00DD02F9"/>
    <w:rPr>
      <w:rFonts w:ascii="Times New Roman" w:hAnsi="Times New Roman"/>
      <w:sz w:val="20"/>
    </w:rPr>
  </w:style>
  <w:style w:type="character" w:customStyle="1" w:styleId="TekstprzypisudolnegoZnak">
    <w:name w:val="Tekst przypisu dolnego Znak"/>
    <w:basedOn w:val="Domylnaczcionkaakapitu"/>
    <w:link w:val="Tekstprzypisudolnego"/>
    <w:semiHidden/>
    <w:rsid w:val="00DD02F9"/>
    <w:rPr>
      <w:rFonts w:ascii="Times New Roman" w:eastAsia="Times New Roman" w:hAnsi="Times New Roman" w:cs="Times New Roman"/>
      <w:sz w:val="20"/>
      <w:szCs w:val="20"/>
      <w:lang w:eastAsia="pl-PL"/>
    </w:rPr>
  </w:style>
  <w:style w:type="paragraph" w:styleId="Tytu">
    <w:name w:val="Title"/>
    <w:basedOn w:val="Normalny"/>
    <w:link w:val="TytuZnak"/>
    <w:qFormat/>
    <w:rsid w:val="00DD02F9"/>
    <w:pPr>
      <w:widowControl w:val="0"/>
      <w:autoSpaceDE w:val="0"/>
      <w:autoSpaceDN w:val="0"/>
      <w:adjustRightInd w:val="0"/>
      <w:jc w:val="center"/>
    </w:pPr>
    <w:rPr>
      <w:rFonts w:ascii="Times New Roman" w:hAnsi="Times New Roman"/>
      <w:b/>
      <w:sz w:val="28"/>
    </w:rPr>
  </w:style>
  <w:style w:type="character" w:customStyle="1" w:styleId="TytuZnak">
    <w:name w:val="Tytuł Znak"/>
    <w:basedOn w:val="Domylnaczcionkaakapitu"/>
    <w:link w:val="Tytu"/>
    <w:rsid w:val="00DD02F9"/>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DD02F9"/>
    <w:pPr>
      <w:pBdr>
        <w:right w:val="single" w:sz="4" w:space="4" w:color="auto"/>
      </w:pBdr>
      <w:jc w:val="center"/>
    </w:pPr>
    <w:rPr>
      <w:rFonts w:ascii="Times New Roman" w:hAnsi="Times New Roman"/>
      <w:b/>
      <w:sz w:val="24"/>
    </w:rPr>
  </w:style>
  <w:style w:type="character" w:customStyle="1" w:styleId="PodtytuZnak">
    <w:name w:val="Podtytuł Znak"/>
    <w:basedOn w:val="Domylnaczcionkaakapitu"/>
    <w:link w:val="Podtytu"/>
    <w:rsid w:val="00DD02F9"/>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2606</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2016-06-07T05:54:00Z</cp:lastPrinted>
  <dcterms:created xsi:type="dcterms:W3CDTF">2014-10-01T07:09:00Z</dcterms:created>
  <dcterms:modified xsi:type="dcterms:W3CDTF">2016-06-07T05:55:00Z</dcterms:modified>
</cp:coreProperties>
</file>