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711062D4" w:rsidR="009568A5" w:rsidRPr="003F7174" w:rsidRDefault="00B41F7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CZWARTY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0BA77C79" w:rsidR="00531637" w:rsidRPr="003F7174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>do dnia</w:t>
      </w:r>
      <w:r w:rsid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3F7174">
        <w:rPr>
          <w:rFonts w:ascii="Arial" w:hAnsi="Arial" w:cs="Arial"/>
          <w:b/>
          <w:bCs/>
          <w:snapToGrid w:val="0"/>
          <w:sz w:val="18"/>
          <w:szCs w:val="18"/>
        </w:rPr>
        <w:t>4 października</w:t>
      </w:r>
      <w:r w:rsidR="00AB4713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2022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snapToGrid w:val="0"/>
          <w:sz w:val="18"/>
          <w:szCs w:val="18"/>
        </w:rPr>
        <w:t>.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9651E8">
        <w:rPr>
          <w:rFonts w:ascii="Arial" w:hAnsi="Arial" w:cs="Arial"/>
          <w:snapToGrid w:val="0"/>
          <w:sz w:val="18"/>
          <w:szCs w:val="18"/>
        </w:rPr>
        <w:t>Drugi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9651E8">
        <w:rPr>
          <w:rFonts w:ascii="Arial" w:hAnsi="Arial" w:cs="Arial"/>
          <w:snapToGrid w:val="0"/>
          <w:sz w:val="18"/>
          <w:szCs w:val="18"/>
        </w:rPr>
        <w:t>14 marca 2023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B41F78">
        <w:rPr>
          <w:rFonts w:ascii="Arial" w:hAnsi="Arial" w:cs="Arial"/>
          <w:snapToGrid w:val="0"/>
          <w:sz w:val="18"/>
          <w:szCs w:val="18"/>
        </w:rPr>
        <w:t xml:space="preserve"> Trzeci przetarg na zbycie nieruchomości odbył się 11 lipca 2023 r. i zakończył się wynikiem negatywnym.</w:t>
      </w:r>
    </w:p>
    <w:p w14:paraId="71CEC4D1" w14:textId="07B69121" w:rsidR="009568A5" w:rsidRPr="003F7174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3F7174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3F7174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B41F78">
        <w:rPr>
          <w:rFonts w:ascii="Arial" w:hAnsi="Arial" w:cs="Arial"/>
          <w:b/>
          <w:snapToGrid w:val="0"/>
          <w:sz w:val="18"/>
          <w:szCs w:val="18"/>
        </w:rPr>
        <w:t>7 listopada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3F7174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030888" w:rsidRPr="003F7174">
        <w:rPr>
          <w:rFonts w:ascii="Arial" w:hAnsi="Arial" w:cs="Arial"/>
          <w:b/>
          <w:snapToGrid w:val="0"/>
          <w:sz w:val="18"/>
          <w:szCs w:val="18"/>
        </w:rPr>
        <w:t>09.</w:t>
      </w:r>
      <w:r w:rsidR="00D901F1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="00E62982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 siedzibie 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Urzędu Miasta Żagań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ul. Jana Pawła II 15, pokój nr 4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(</w:t>
      </w:r>
      <w:r w:rsidR="00F01BB4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Pałacyk -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sala konferencyjna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>).</w:t>
      </w:r>
    </w:p>
    <w:p w14:paraId="24616BAE" w14:textId="010C22F7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3F7174">
        <w:rPr>
          <w:rFonts w:ascii="Arial" w:hAnsi="Arial" w:cs="Arial"/>
          <w:snapToGrid w:val="0"/>
          <w:sz w:val="18"/>
          <w:szCs w:val="18"/>
        </w:rPr>
        <w:t>Bank Santander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3F7174">
        <w:rPr>
          <w:rFonts w:ascii="Arial" w:hAnsi="Arial" w:cs="Arial"/>
          <w:b/>
          <w:snapToGrid w:val="0"/>
          <w:sz w:val="18"/>
          <w:szCs w:val="18"/>
        </w:rPr>
        <w:t>do dnia</w:t>
      </w:r>
      <w:r w:rsidR="009651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B41F78">
        <w:rPr>
          <w:rFonts w:ascii="Arial" w:hAnsi="Arial" w:cs="Arial"/>
          <w:b/>
          <w:snapToGrid w:val="0"/>
          <w:sz w:val="18"/>
          <w:szCs w:val="18"/>
        </w:rPr>
        <w:t>2 listopada</w:t>
      </w:r>
      <w:r w:rsidR="009651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>2023</w:t>
      </w:r>
      <w:r w:rsidR="00541E6B"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3F7174">
        <w:rPr>
          <w:rFonts w:ascii="Arial" w:hAnsi="Arial" w:cs="Arial"/>
          <w:b/>
          <w:snapToGrid w:val="0"/>
          <w:sz w:val="18"/>
          <w:szCs w:val="18"/>
        </w:rPr>
        <w:t>r.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A03BBD"/>
    <w:rsid w:val="00A345B5"/>
    <w:rsid w:val="00A97726"/>
    <w:rsid w:val="00A97FF9"/>
    <w:rsid w:val="00AB4713"/>
    <w:rsid w:val="00B41F78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43</cp:revision>
  <cp:lastPrinted>2023-09-04T07:01:00Z</cp:lastPrinted>
  <dcterms:created xsi:type="dcterms:W3CDTF">2014-10-16T09:13:00Z</dcterms:created>
  <dcterms:modified xsi:type="dcterms:W3CDTF">2023-09-04T07:01:00Z</dcterms:modified>
</cp:coreProperties>
</file>