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4E357C04" w:rsidR="001F3032" w:rsidRPr="00C37A8F" w:rsidRDefault="00063CBE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2D485563" w14:textId="77777777" w:rsidR="00F97CFD" w:rsidRDefault="001F3032" w:rsidP="00F97CFD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E18A8">
        <w:rPr>
          <w:rFonts w:ascii="Arial" w:hAnsi="Arial" w:cs="Arial"/>
          <w:b/>
          <w:sz w:val="20"/>
          <w:szCs w:val="22"/>
        </w:rPr>
        <w:t>1a</w:t>
      </w:r>
      <w:r w:rsidR="00F97CFD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FE18A8">
        <w:rPr>
          <w:rFonts w:ascii="Arial" w:hAnsi="Arial" w:cs="Arial"/>
          <w:b/>
          <w:sz w:val="20"/>
          <w:szCs w:val="22"/>
        </w:rPr>
        <w:t>Łokietka 18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o powierzchni </w:t>
      </w:r>
      <w:r w:rsidR="00F97CFD" w:rsidRPr="00F97CFD">
        <w:rPr>
          <w:rFonts w:ascii="Arial" w:hAnsi="Arial" w:cs="Arial"/>
          <w:b/>
          <w:sz w:val="20"/>
          <w:szCs w:val="22"/>
        </w:rPr>
        <w:t>, o powierzchni 11,00 m2, wraz z pomieszczeniem przynależnym – piwnicą o powierzchni 5,5 m2, wraz z udziałem 21/1000 w częściach wspólnych budynku ul. Łokietka 13-18 oraz nieruchomości oznaczonej numerami ewidencyjnymi 2415/8, 2415/9 2415/10, 2415/11, 2415/12 oraz 2415/13 dla których prowadzona jest księga wieczysta ZG1G/00036947/9, o łącznej powierzchni 0,0560 ha.</w:t>
      </w:r>
      <w:r w:rsidR="00F97CFD">
        <w:rPr>
          <w:rFonts w:ascii="Arial" w:hAnsi="Arial" w:cs="Arial"/>
          <w:b/>
          <w:sz w:val="20"/>
          <w:szCs w:val="22"/>
        </w:rPr>
        <w:t xml:space="preserve"> </w:t>
      </w:r>
    </w:p>
    <w:p w14:paraId="6FB760E5" w14:textId="77777777" w:rsidR="00F97CFD" w:rsidRDefault="00F97CFD" w:rsidP="00F97CFD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4B009094" w:rsidR="001F3032" w:rsidRPr="00C37A8F" w:rsidRDefault="0037565E" w:rsidP="00F97CFD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FE18A8">
        <w:rPr>
          <w:rFonts w:ascii="Arial" w:hAnsi="Arial"/>
          <w:b/>
          <w:sz w:val="18"/>
          <w:szCs w:val="20"/>
        </w:rPr>
        <w:t>22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D5C2F5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FE18A8">
        <w:rPr>
          <w:rFonts w:ascii="Arial" w:hAnsi="Arial" w:cs="Arial"/>
          <w:b/>
          <w:sz w:val="18"/>
          <w:szCs w:val="20"/>
        </w:rPr>
        <w:t>4</w:t>
      </w:r>
      <w:r w:rsidR="009F5010">
        <w:rPr>
          <w:rFonts w:ascii="Arial" w:hAnsi="Arial" w:cs="Arial"/>
          <w:b/>
          <w:sz w:val="18"/>
          <w:szCs w:val="20"/>
        </w:rPr>
        <w:t>.</w:t>
      </w:r>
      <w:r w:rsidR="00FE18A8">
        <w:rPr>
          <w:rFonts w:ascii="Arial" w:hAnsi="Arial" w:cs="Arial"/>
          <w:b/>
          <w:sz w:val="18"/>
          <w:szCs w:val="20"/>
        </w:rPr>
        <w:t>4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5EDDD171" w:rsidR="001F3032" w:rsidRPr="00C37A8F" w:rsidRDefault="001F3032" w:rsidP="001F3032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FE18A8" w:rsidRPr="00FE18A8">
        <w:rPr>
          <w:rFonts w:ascii="Arial" w:hAnsi="Arial"/>
          <w:color w:val="000000"/>
          <w:sz w:val="18"/>
          <w:szCs w:val="20"/>
        </w:rPr>
        <w:t>Lokal mieszkalny położony na pierwszej kondygnacji budynku mieszkalnego, wielorodzinnego. Wejście do lokalu bezpośrednio z podwórza. Lokal jednoizbowy. W lokalu znajduje się sieć wodna i kanalizacyjna. Brak łazienki. Do lokalu przynależy piwnica, znajdująca się bezpośrednio pod lokalem mieszkalnym. Wejście do piwnicy bezpośrednio z podwórza. Stan lokalu zły – do remontu kapitalnego, z koniecznością wymiany tynków, podłóg, instalacji wewnętrznych oraz stolarki okiennej i drzwiowej. Stan budynku bardzo dobry – po wymianie poszycia dachowego oraz elewacji zewnętrznej.</w:t>
      </w:r>
      <w:r w:rsidR="00FE18A8">
        <w:rPr>
          <w:rFonts w:ascii="Arial" w:hAnsi="Arial"/>
          <w:color w:val="000000"/>
          <w:sz w:val="18"/>
          <w:szCs w:val="20"/>
        </w:rPr>
        <w:t xml:space="preserve"> </w:t>
      </w:r>
      <w:r w:rsidR="00FE18A8" w:rsidRPr="00FE18A8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MM – teren zabudowy mieszkaniowej mieszanej.</w:t>
      </w:r>
    </w:p>
    <w:p w14:paraId="42C06C24" w14:textId="7A30C9A9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E18A8" w:rsidRPr="00FE18A8">
        <w:rPr>
          <w:rFonts w:ascii="Arial" w:hAnsi="Arial" w:cs="Arial"/>
          <w:b/>
          <w:color w:val="000000"/>
          <w:sz w:val="18"/>
          <w:szCs w:val="20"/>
        </w:rPr>
        <w:t>ZG1G/00036947/9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119F333" w:rsidR="001F3032" w:rsidRPr="009C27E1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 w:themeColor="text1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063CBE">
        <w:rPr>
          <w:rFonts w:ascii="Arial" w:hAnsi="Arial"/>
          <w:b/>
          <w:snapToGrid w:val="0"/>
          <w:color w:val="000000" w:themeColor="text1"/>
          <w:sz w:val="18"/>
          <w:szCs w:val="20"/>
        </w:rPr>
        <w:t>5 kwietnia</w:t>
      </w:r>
      <w:r w:rsidR="00FE18A8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2022</w:t>
      </w:r>
      <w:r w:rsidR="002D4290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</w:t>
      </w:r>
      <w:r w:rsidR="00562E98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r. o godz. </w:t>
      </w:r>
      <w:r w:rsidR="00063CBE">
        <w:rPr>
          <w:rFonts w:ascii="Arial" w:hAnsi="Arial"/>
          <w:b/>
          <w:snapToGrid w:val="0"/>
          <w:color w:val="000000" w:themeColor="text1"/>
          <w:sz w:val="18"/>
          <w:szCs w:val="20"/>
        </w:rPr>
        <w:t>11</w:t>
      </w:r>
      <w:r w:rsidR="00063CBE">
        <w:rPr>
          <w:rFonts w:ascii="Arial" w:hAnsi="Arial"/>
          <w:b/>
          <w:snapToGrid w:val="0"/>
          <w:color w:val="000000" w:themeColor="text1"/>
          <w:sz w:val="18"/>
          <w:szCs w:val="20"/>
          <w:u w:val="single"/>
          <w:vertAlign w:val="superscript"/>
        </w:rPr>
        <w:t>3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  <w:u w:val="single"/>
          <w:vertAlign w:val="superscript"/>
        </w:rPr>
        <w:t>0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w siedzibie Urzędu Miasta Żagań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,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ul. Jana Pawła II,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pokój nr 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4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(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sala konferencyjna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>).</w:t>
      </w:r>
    </w:p>
    <w:p w14:paraId="5BC1B91E" w14:textId="1D1B1F79" w:rsidR="001F3032" w:rsidRPr="009C27E1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 w:themeColor="text1"/>
          <w:sz w:val="18"/>
          <w:szCs w:val="20"/>
        </w:rPr>
      </w:pP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Wadium w podanej powyżej wysokościach należy wnosić w kasie Urzędu Miasta Żagań lub na konto </w:t>
      </w:r>
      <w:r w:rsidR="00C37A8F"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Bank Santander 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O/Żagań 39 10902558-0000000640000101 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do dnia </w:t>
      </w:r>
      <w:r w:rsidR="00063CBE">
        <w:rPr>
          <w:rFonts w:ascii="Arial" w:hAnsi="Arial"/>
          <w:b/>
          <w:snapToGrid w:val="0"/>
          <w:color w:val="000000" w:themeColor="text1"/>
          <w:sz w:val="18"/>
          <w:szCs w:val="20"/>
        </w:rPr>
        <w:t>31 marca</w:t>
      </w:r>
      <w:r w:rsidR="000C472D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2022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r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064DA236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063CBE" w:rsidRPr="00063CBE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63CBE"/>
    <w:rsid w:val="000C472D"/>
    <w:rsid w:val="001F3032"/>
    <w:rsid w:val="002D4290"/>
    <w:rsid w:val="0037565E"/>
    <w:rsid w:val="00381F52"/>
    <w:rsid w:val="003A0AC8"/>
    <w:rsid w:val="00562E98"/>
    <w:rsid w:val="00786808"/>
    <w:rsid w:val="009C27E1"/>
    <w:rsid w:val="009F5010"/>
    <w:rsid w:val="00B640FC"/>
    <w:rsid w:val="00B92793"/>
    <w:rsid w:val="00C37A8F"/>
    <w:rsid w:val="00E4414D"/>
    <w:rsid w:val="00F97CF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2020-02-17T06:55:00Z</cp:lastPrinted>
  <dcterms:created xsi:type="dcterms:W3CDTF">2014-11-06T07:41:00Z</dcterms:created>
  <dcterms:modified xsi:type="dcterms:W3CDTF">2022-02-15T07:09:00Z</dcterms:modified>
</cp:coreProperties>
</file>