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8DE" w14:textId="77777777" w:rsidR="003B0759" w:rsidRPr="00E62A11" w:rsidRDefault="003B0759" w:rsidP="0051453A">
      <w:pPr>
        <w:pStyle w:val="Tytu"/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7A312BFD" w14:textId="249A3937" w:rsidR="003B0759" w:rsidRPr="00E62A11" w:rsidRDefault="003B0759" w:rsidP="003B0759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Załącznik do Zarządzenia Burmistrza Miasta Żagań Nr … / 202</w:t>
      </w:r>
      <w:r w:rsidR="0051453A">
        <w:rPr>
          <w:rFonts w:ascii="Arial" w:hAnsi="Arial"/>
          <w:color w:val="000000"/>
          <w:sz w:val="18"/>
          <w:szCs w:val="18"/>
        </w:rPr>
        <w:t>1</w:t>
      </w:r>
      <w:r w:rsidRPr="00E62A11">
        <w:rPr>
          <w:rFonts w:ascii="Arial" w:hAnsi="Arial"/>
          <w:color w:val="000000"/>
          <w:sz w:val="18"/>
          <w:szCs w:val="18"/>
        </w:rPr>
        <w:t xml:space="preserve"> z dnia …</w:t>
      </w:r>
      <w:r w:rsidR="00800415">
        <w:rPr>
          <w:rFonts w:ascii="Arial" w:hAnsi="Arial"/>
          <w:b w:val="0"/>
          <w:color w:val="000000"/>
          <w:sz w:val="18"/>
          <w:szCs w:val="18"/>
        </w:rPr>
        <w:t xml:space="preserve"> </w:t>
      </w:r>
      <w:r w:rsidR="001504A0">
        <w:rPr>
          <w:rFonts w:ascii="Arial" w:hAnsi="Arial"/>
          <w:bCs/>
          <w:color w:val="000000"/>
          <w:sz w:val="18"/>
          <w:szCs w:val="18"/>
        </w:rPr>
        <w:t>grudnia</w:t>
      </w:r>
      <w:r w:rsidR="0051453A" w:rsidRPr="00800415">
        <w:rPr>
          <w:rFonts w:ascii="Arial" w:hAnsi="Arial"/>
          <w:bCs/>
          <w:color w:val="000000"/>
          <w:sz w:val="18"/>
          <w:szCs w:val="18"/>
        </w:rPr>
        <w:t xml:space="preserve"> </w:t>
      </w:r>
      <w:r w:rsidR="0051453A">
        <w:rPr>
          <w:rFonts w:ascii="Arial" w:hAnsi="Arial"/>
          <w:color w:val="000000"/>
          <w:sz w:val="18"/>
          <w:szCs w:val="18"/>
        </w:rPr>
        <w:t>2021</w:t>
      </w:r>
      <w:r w:rsidRPr="00E62A11">
        <w:rPr>
          <w:rFonts w:ascii="Arial" w:hAnsi="Arial"/>
          <w:color w:val="000000"/>
          <w:sz w:val="18"/>
          <w:szCs w:val="18"/>
        </w:rPr>
        <w:t xml:space="preserve"> roku</w:t>
      </w:r>
    </w:p>
    <w:p w14:paraId="4B71861D" w14:textId="0B5BFFEA" w:rsidR="003B0759" w:rsidRPr="00E62A11" w:rsidRDefault="003B0759" w:rsidP="003B0759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w drodze </w:t>
      </w:r>
      <w:r w:rsidR="00BB7873">
        <w:rPr>
          <w:rFonts w:ascii="Arial" w:hAnsi="Arial"/>
          <w:color w:val="000000"/>
          <w:sz w:val="18"/>
          <w:szCs w:val="18"/>
        </w:rPr>
        <w:t>nie</w:t>
      </w:r>
      <w:r w:rsidRPr="00E62A11">
        <w:rPr>
          <w:rFonts w:ascii="Arial" w:hAnsi="Arial"/>
          <w:color w:val="000000"/>
          <w:sz w:val="18"/>
          <w:szCs w:val="18"/>
        </w:rPr>
        <w:t xml:space="preserve">ograniczonego przetargu niezabudowanej nieruchomości gruntowej położonej przy ul. </w:t>
      </w:r>
      <w:r w:rsidR="0051453A">
        <w:rPr>
          <w:rFonts w:ascii="Arial" w:hAnsi="Arial"/>
          <w:color w:val="000000"/>
          <w:sz w:val="18"/>
          <w:szCs w:val="18"/>
        </w:rPr>
        <w:t>R</w:t>
      </w:r>
      <w:r w:rsidR="00BB7873">
        <w:rPr>
          <w:rFonts w:ascii="Arial" w:hAnsi="Arial"/>
          <w:color w:val="000000"/>
          <w:sz w:val="18"/>
          <w:szCs w:val="18"/>
        </w:rPr>
        <w:t>zeźnickiej</w:t>
      </w:r>
      <w:r w:rsidRPr="00E62A11">
        <w:rPr>
          <w:rFonts w:ascii="Arial" w:hAnsi="Arial"/>
          <w:color w:val="000000"/>
          <w:sz w:val="18"/>
          <w:szCs w:val="18"/>
        </w:rPr>
        <w:t xml:space="preserve"> w Żaganiu</w:t>
      </w:r>
    </w:p>
    <w:p w14:paraId="5D32F474" w14:textId="77777777" w:rsidR="003B0759" w:rsidRPr="00E62A11" w:rsidRDefault="003B0759" w:rsidP="003B0759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3B0759" w:rsidRPr="00E62A11" w14:paraId="1AFB729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06D8F1E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4BC472F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4A7A93D1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Przeznaczenie gruntu w </w:t>
            </w:r>
            <w:proofErr w:type="spellStart"/>
            <w:r w:rsidRPr="00E62A11">
              <w:rPr>
                <w:rFonts w:ascii="Arial" w:hAnsi="Arial"/>
                <w:b/>
                <w:sz w:val="18"/>
                <w:szCs w:val="18"/>
              </w:rPr>
              <w:t>pzp</w:t>
            </w:r>
            <w:proofErr w:type="spellEnd"/>
            <w:r w:rsidRPr="00E62A1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B8593F6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2E8A38CF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7B21B05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56C33C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3B0759" w:rsidRPr="00E62A11" w14:paraId="3D02A36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3B68F2F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443D9FDC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2A8242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 xml:space="preserve">Termin </w:t>
            </w:r>
            <w:proofErr w:type="spellStart"/>
            <w:r w:rsidRPr="00E62A11">
              <w:rPr>
                <w:rFonts w:ascii="Arial" w:hAnsi="Arial"/>
                <w:sz w:val="18"/>
                <w:szCs w:val="18"/>
              </w:rPr>
              <w:t>zagosp</w:t>
            </w:r>
            <w:proofErr w:type="spellEnd"/>
            <w:r w:rsidRPr="00E62A11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14:paraId="78D3CE74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425FC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21979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3CA82A9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1A76074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18CD5B7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2944B55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4BED802E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5B39A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53C0A14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FF8DFC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29AD1F0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E47EDD3" w14:textId="77777777" w:rsidTr="00F9689E">
        <w:trPr>
          <w:cantSplit/>
          <w:trHeight w:val="70"/>
          <w:jc w:val="center"/>
        </w:trPr>
        <w:tc>
          <w:tcPr>
            <w:tcW w:w="2112" w:type="dxa"/>
          </w:tcPr>
          <w:p w14:paraId="42EFBCD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022BC180" w14:textId="77777777" w:rsidR="003B0759" w:rsidRPr="00E62A11" w:rsidRDefault="003B0759" w:rsidP="00F9689E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3AAEC9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F444E2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A7810F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1B2F3D1B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B0759" w:rsidRPr="00E62A11" w14:paraId="551B11E2" w14:textId="77777777" w:rsidTr="00F9689E">
        <w:trPr>
          <w:cantSplit/>
          <w:trHeight w:val="3316"/>
          <w:jc w:val="center"/>
        </w:trPr>
        <w:tc>
          <w:tcPr>
            <w:tcW w:w="2112" w:type="dxa"/>
          </w:tcPr>
          <w:p w14:paraId="287BC09F" w14:textId="006FFDCA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Żagań ul.</w:t>
            </w:r>
            <w:r w:rsidR="00BB7873">
              <w:rPr>
                <w:rFonts w:ascii="Arial" w:hAnsi="Arial"/>
                <w:b/>
                <w:sz w:val="18"/>
                <w:szCs w:val="18"/>
              </w:rPr>
              <w:t xml:space="preserve"> Rzeźnickiej</w:t>
            </w:r>
          </w:p>
          <w:p w14:paraId="2E996F1A" w14:textId="74EAC45C" w:rsidR="003B0759" w:rsidRPr="00E62A11" w:rsidRDefault="003B0759" w:rsidP="00F9689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strefa </w:t>
            </w:r>
            <w:r w:rsidR="00BB7873">
              <w:rPr>
                <w:rFonts w:ascii="Arial" w:hAnsi="Arial"/>
                <w:b/>
                <w:sz w:val="18"/>
                <w:szCs w:val="18"/>
              </w:rPr>
              <w:t>podmiejska</w:t>
            </w:r>
          </w:p>
        </w:tc>
        <w:tc>
          <w:tcPr>
            <w:tcW w:w="4549" w:type="dxa"/>
            <w:vMerge w:val="restart"/>
          </w:tcPr>
          <w:p w14:paraId="4F47FC08" w14:textId="3F741BED" w:rsidR="003B0759" w:rsidRPr="00E62A11" w:rsidRDefault="001504A0" w:rsidP="00F9689E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Nieruchomość gruntowa o nieregularnym kształcie zbliżonym do prostokąta. Nieruchomość częściowa zagospodarowana przez użytkownika nieruchomości</w:t>
            </w:r>
            <w:r w:rsidR="00030C03">
              <w:rPr>
                <w:rFonts w:ascii="Arial" w:hAnsi="Arial"/>
                <w:color w:val="000000"/>
                <w:sz w:val="18"/>
                <w:szCs w:val="18"/>
              </w:rPr>
              <w:t>. W sąsiedztwie nieruchomości zabudowa mieszkaniowa jednorodzinna, ogrody działkowe oraz nieurządzone tereny zielone.</w:t>
            </w:r>
            <w:r w:rsidR="00053B17">
              <w:rPr>
                <w:rFonts w:ascii="Arial" w:hAnsi="Arial"/>
                <w:color w:val="000000"/>
                <w:sz w:val="18"/>
                <w:szCs w:val="18"/>
              </w:rPr>
              <w:t xml:space="preserve"> Dostęp do drogi publicznej przez nieurządzoną drogę, znajdującą się na wydzielonej geodezyjnie nieruchomości.</w:t>
            </w:r>
            <w:r w:rsidR="00B157A2">
              <w:rPr>
                <w:rFonts w:ascii="Arial" w:hAnsi="Arial"/>
                <w:color w:val="000000"/>
                <w:sz w:val="18"/>
                <w:szCs w:val="18"/>
              </w:rPr>
              <w:t xml:space="preserve"> Do nieruchomości doprowadzona jest sieć wodna oraz elektryczna. Pozostał sieci znajdują się w ul. Rzeźnickiej. Przyłączenie sieci do nieruchomości należeć będzie do inwestora.</w:t>
            </w:r>
          </w:p>
        </w:tc>
        <w:tc>
          <w:tcPr>
            <w:tcW w:w="3119" w:type="dxa"/>
          </w:tcPr>
          <w:p w14:paraId="6CB0F3A9" w14:textId="01FC9F41" w:rsidR="003B0759" w:rsidRPr="00E62A11" w:rsidRDefault="004C0DFE" w:rsidP="0051453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obowiązującym miejscowym planem zagospodarowania przestrzennego, nieruchomość położona jest w obszarze oznaczonym symbolem </w:t>
            </w:r>
            <w:r w:rsidR="006C6118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6E443D">
              <w:rPr>
                <w:rFonts w:ascii="Arial" w:hAnsi="Arial" w:cs="Arial"/>
                <w:sz w:val="18"/>
                <w:szCs w:val="18"/>
              </w:rPr>
              <w:t>1</w:t>
            </w:r>
            <w:r w:rsidR="00053B17">
              <w:rPr>
                <w:rFonts w:ascii="Arial" w:hAnsi="Arial" w:cs="Arial"/>
                <w:sz w:val="18"/>
                <w:szCs w:val="18"/>
              </w:rPr>
              <w:t>US</w:t>
            </w:r>
            <w:r w:rsidR="007A18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6118">
              <w:rPr>
                <w:rFonts w:ascii="Arial" w:hAnsi="Arial" w:cs="Arial"/>
                <w:sz w:val="18"/>
                <w:szCs w:val="18"/>
              </w:rPr>
              <w:t xml:space="preserve">oznaczającym tereny </w:t>
            </w:r>
            <w:r w:rsidR="00B157A2">
              <w:rPr>
                <w:rFonts w:ascii="Arial" w:hAnsi="Arial" w:cs="Arial"/>
                <w:sz w:val="18"/>
                <w:szCs w:val="18"/>
              </w:rPr>
              <w:t>sportu i rekreacji.</w:t>
            </w:r>
          </w:p>
        </w:tc>
        <w:tc>
          <w:tcPr>
            <w:tcW w:w="1843" w:type="dxa"/>
            <w:vMerge w:val="restart"/>
          </w:tcPr>
          <w:p w14:paraId="5B8092C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8CBEC7" w14:textId="47E75A00" w:rsidR="003B0759" w:rsidRPr="00791508" w:rsidRDefault="0051453A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7</w:t>
            </w:r>
            <w:r w:rsidR="006E443D">
              <w:rPr>
                <w:rFonts w:ascii="Arial" w:hAnsi="Arial"/>
                <w:b/>
                <w:color w:val="FF0000"/>
                <w:sz w:val="18"/>
                <w:szCs w:val="18"/>
              </w:rPr>
              <w:t>1.</w:t>
            </w:r>
            <w:r w:rsidR="0007159E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0</w:t>
            </w:r>
            <w:r w:rsidR="00C22EDB">
              <w:rPr>
                <w:rFonts w:ascii="Arial" w:hAnsi="Arial"/>
                <w:b/>
                <w:color w:val="FF0000"/>
                <w:sz w:val="18"/>
                <w:szCs w:val="18"/>
              </w:rPr>
              <w:t>0</w:t>
            </w:r>
            <w:r w:rsidR="0007159E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0</w:t>
            </w:r>
            <w:r w:rsidR="003B0759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287FBF3F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Do ceny ustalonej w przetargu dolicza się podatek VAT w wysokości 23 %.</w:t>
            </w:r>
          </w:p>
        </w:tc>
        <w:tc>
          <w:tcPr>
            <w:tcW w:w="2410" w:type="dxa"/>
            <w:vMerge w:val="restart"/>
          </w:tcPr>
          <w:p w14:paraId="47D89D8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5C20A62D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6B93ED87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C4470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62AA41D8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38ACEE69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D42FE0C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6E18EC45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4D2D121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3B0759" w:rsidRPr="00E62A11" w14:paraId="1FEBB36E" w14:textId="77777777" w:rsidTr="00F9689E">
        <w:trPr>
          <w:cantSplit/>
          <w:trHeight w:val="470"/>
          <w:jc w:val="center"/>
        </w:trPr>
        <w:tc>
          <w:tcPr>
            <w:tcW w:w="2112" w:type="dxa"/>
          </w:tcPr>
          <w:p w14:paraId="0A89E0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3DE53920" w14:textId="77CDDC20" w:rsidR="00BF36AD" w:rsidRDefault="00BB7873" w:rsidP="0080041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7873">
              <w:rPr>
                <w:rFonts w:ascii="Arial" w:hAnsi="Arial"/>
                <w:b/>
                <w:sz w:val="18"/>
                <w:szCs w:val="18"/>
              </w:rPr>
              <w:t>ZG1G/00053173/7</w:t>
            </w:r>
          </w:p>
          <w:p w14:paraId="5CDA8C6F" w14:textId="77777777" w:rsidR="00BB7873" w:rsidRDefault="00BB7873" w:rsidP="0080041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BB7873">
              <w:rPr>
                <w:rFonts w:ascii="Arial" w:hAnsi="Arial"/>
                <w:b/>
                <w:sz w:val="18"/>
                <w:szCs w:val="18"/>
              </w:rPr>
              <w:t>ZG1G/00053161/0</w:t>
            </w:r>
          </w:p>
          <w:p w14:paraId="29A86101" w14:textId="77777777" w:rsidR="00BB7873" w:rsidRDefault="00BB7873" w:rsidP="0080041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7873">
              <w:rPr>
                <w:rFonts w:ascii="Arial" w:hAnsi="Arial"/>
                <w:b/>
                <w:sz w:val="18"/>
                <w:szCs w:val="18"/>
              </w:rPr>
              <w:t>ZG1G/00053189/2</w:t>
            </w:r>
          </w:p>
          <w:p w14:paraId="667CEA98" w14:textId="4E9EBBF4" w:rsidR="00BB7873" w:rsidRPr="00E62A11" w:rsidRDefault="00BB7873" w:rsidP="0080041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7873">
              <w:rPr>
                <w:rFonts w:ascii="Arial" w:hAnsi="Arial"/>
                <w:b/>
                <w:sz w:val="18"/>
                <w:szCs w:val="18"/>
              </w:rPr>
              <w:t>ZG1G/00016339/8</w:t>
            </w:r>
          </w:p>
        </w:tc>
        <w:tc>
          <w:tcPr>
            <w:tcW w:w="4549" w:type="dxa"/>
            <w:vMerge/>
          </w:tcPr>
          <w:p w14:paraId="6140A75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86020C1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6AD53A6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2EFE74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52E46B0D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4ACBBAD0" w14:textId="77777777" w:rsidTr="00F9689E">
        <w:trPr>
          <w:cantSplit/>
          <w:trHeight w:val="516"/>
          <w:jc w:val="center"/>
        </w:trPr>
        <w:tc>
          <w:tcPr>
            <w:tcW w:w="2112" w:type="dxa"/>
          </w:tcPr>
          <w:p w14:paraId="70F6450A" w14:textId="77777777" w:rsidR="003B0759" w:rsidRDefault="00BB7873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  <w:vertAlign w:val="superscript"/>
              </w:rPr>
            </w:pPr>
            <w:r w:rsidRPr="00BB7873">
              <w:rPr>
                <w:rFonts w:ascii="Arial" w:hAnsi="Arial"/>
                <w:b/>
                <w:sz w:val="18"/>
                <w:szCs w:val="18"/>
              </w:rPr>
              <w:t>372/5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- 135</w:t>
            </w:r>
            <w:r w:rsidR="003B0759" w:rsidRPr="00E62A1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B0759" w:rsidRPr="00E62A11">
              <w:rPr>
                <w:rFonts w:ascii="Arial" w:hAnsi="Arial"/>
                <w:b/>
                <w:color w:val="000000"/>
                <w:sz w:val="18"/>
                <w:szCs w:val="18"/>
              </w:rPr>
              <w:t>m</w:t>
            </w:r>
            <w:r w:rsidR="003B0759" w:rsidRPr="00E62A11">
              <w:rPr>
                <w:rFonts w:ascii="Arial" w:hAnsi="Arial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  <w:p w14:paraId="17418665" w14:textId="77777777" w:rsidR="00BB7873" w:rsidRDefault="00BB7873" w:rsidP="00F9689E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BB7873">
              <w:rPr>
                <w:rFonts w:ascii="Arial" w:hAnsi="Arial"/>
                <w:b/>
                <w:sz w:val="18"/>
                <w:szCs w:val="18"/>
              </w:rPr>
              <w:t>406/1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– 370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62FC63FF" w14:textId="77777777" w:rsidR="00BB7873" w:rsidRDefault="00BB7873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7873">
              <w:rPr>
                <w:rFonts w:ascii="Arial" w:hAnsi="Arial"/>
                <w:b/>
                <w:sz w:val="18"/>
                <w:szCs w:val="18"/>
              </w:rPr>
              <w:t>407/1 – 147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15CCFAB5" w14:textId="5FADC2BD" w:rsidR="00BB7873" w:rsidRPr="00BB7873" w:rsidRDefault="00BB7873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7873">
              <w:rPr>
                <w:rFonts w:ascii="Arial" w:hAnsi="Arial"/>
                <w:b/>
                <w:sz w:val="18"/>
                <w:szCs w:val="18"/>
              </w:rPr>
              <w:t>411/1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– 55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49" w:type="dxa"/>
            <w:vMerge/>
          </w:tcPr>
          <w:p w14:paraId="73BAA51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5BDA5D" w14:textId="11747BCF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0D5036C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6F0ED59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3CE4220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4CA9AB4" w14:textId="77777777" w:rsidR="003B0759" w:rsidRPr="00E62A11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6B9D9666" w14:textId="77777777" w:rsidR="003B0759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</w:p>
    <w:p w14:paraId="179FAAF0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636D719B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78AC3EE4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02F5AD23" w14:textId="43141A0A" w:rsidR="003B0759" w:rsidRDefault="003B0759" w:rsidP="003B0759">
      <w:pPr>
        <w:rPr>
          <w:rFonts w:ascii="Arial" w:hAnsi="Arial"/>
          <w:sz w:val="18"/>
          <w:szCs w:val="18"/>
        </w:rPr>
      </w:pPr>
    </w:p>
    <w:p w14:paraId="7537B823" w14:textId="75A013FE" w:rsidR="002926EE" w:rsidRDefault="002926EE" w:rsidP="003B0759">
      <w:pPr>
        <w:rPr>
          <w:rFonts w:ascii="Arial" w:hAnsi="Arial"/>
          <w:sz w:val="18"/>
          <w:szCs w:val="18"/>
        </w:rPr>
      </w:pPr>
    </w:p>
    <w:p w14:paraId="192BEC17" w14:textId="450CE8BA" w:rsidR="002926EE" w:rsidRDefault="002926EE" w:rsidP="003B0759">
      <w:pPr>
        <w:rPr>
          <w:rFonts w:ascii="Arial" w:hAnsi="Arial"/>
          <w:sz w:val="18"/>
          <w:szCs w:val="18"/>
        </w:rPr>
      </w:pPr>
    </w:p>
    <w:p w14:paraId="1B48EE28" w14:textId="57E52C0D" w:rsidR="002926EE" w:rsidRDefault="002926EE" w:rsidP="003B0759">
      <w:pPr>
        <w:rPr>
          <w:rFonts w:ascii="Arial" w:hAnsi="Arial"/>
          <w:sz w:val="18"/>
          <w:szCs w:val="18"/>
        </w:rPr>
      </w:pPr>
    </w:p>
    <w:p w14:paraId="0DD7DF6B" w14:textId="2DA2C68B" w:rsidR="002926EE" w:rsidRDefault="002926EE" w:rsidP="003B0759">
      <w:pPr>
        <w:rPr>
          <w:rFonts w:ascii="Arial" w:hAnsi="Arial"/>
          <w:sz w:val="18"/>
          <w:szCs w:val="18"/>
        </w:rPr>
      </w:pPr>
    </w:p>
    <w:p w14:paraId="58A77E96" w14:textId="2CB03442" w:rsidR="002926EE" w:rsidRDefault="002926EE" w:rsidP="003B0759">
      <w:pPr>
        <w:rPr>
          <w:rFonts w:ascii="Arial" w:hAnsi="Arial"/>
          <w:sz w:val="18"/>
          <w:szCs w:val="18"/>
        </w:rPr>
      </w:pPr>
    </w:p>
    <w:p w14:paraId="7ED193CD" w14:textId="492018C8" w:rsidR="002926EE" w:rsidRDefault="002926EE" w:rsidP="003B0759">
      <w:pPr>
        <w:rPr>
          <w:rFonts w:ascii="Arial" w:hAnsi="Arial"/>
          <w:sz w:val="18"/>
          <w:szCs w:val="18"/>
        </w:rPr>
      </w:pPr>
    </w:p>
    <w:p w14:paraId="6F638D7D" w14:textId="5937F6A2" w:rsidR="002926EE" w:rsidRDefault="002926EE" w:rsidP="003B0759">
      <w:pPr>
        <w:rPr>
          <w:rFonts w:ascii="Arial" w:hAnsi="Arial"/>
          <w:sz w:val="18"/>
          <w:szCs w:val="18"/>
        </w:rPr>
      </w:pPr>
    </w:p>
    <w:p w14:paraId="52FD995D" w14:textId="65F16FEE" w:rsidR="002926EE" w:rsidRDefault="002926EE" w:rsidP="003B0759">
      <w:pPr>
        <w:rPr>
          <w:rFonts w:ascii="Arial" w:hAnsi="Arial"/>
          <w:sz w:val="18"/>
          <w:szCs w:val="18"/>
        </w:rPr>
      </w:pPr>
    </w:p>
    <w:sectPr w:rsidR="002926EE" w:rsidSect="00E62A1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030C03"/>
    <w:rsid w:val="00053B17"/>
    <w:rsid w:val="0007159E"/>
    <w:rsid w:val="0009723A"/>
    <w:rsid w:val="001504A0"/>
    <w:rsid w:val="00153313"/>
    <w:rsid w:val="0018015E"/>
    <w:rsid w:val="001E745A"/>
    <w:rsid w:val="00234634"/>
    <w:rsid w:val="002378BF"/>
    <w:rsid w:val="00254CF9"/>
    <w:rsid w:val="002926EE"/>
    <w:rsid w:val="00341F6B"/>
    <w:rsid w:val="00382FDD"/>
    <w:rsid w:val="003B0759"/>
    <w:rsid w:val="003B1F3A"/>
    <w:rsid w:val="003E0602"/>
    <w:rsid w:val="003E5AE3"/>
    <w:rsid w:val="00450A9B"/>
    <w:rsid w:val="004662E9"/>
    <w:rsid w:val="004B021F"/>
    <w:rsid w:val="004C0DFE"/>
    <w:rsid w:val="0051453A"/>
    <w:rsid w:val="0052284C"/>
    <w:rsid w:val="0058025A"/>
    <w:rsid w:val="006528AA"/>
    <w:rsid w:val="00690C9F"/>
    <w:rsid w:val="00693D96"/>
    <w:rsid w:val="006A6FFA"/>
    <w:rsid w:val="006B1BD4"/>
    <w:rsid w:val="006C6118"/>
    <w:rsid w:val="006E443D"/>
    <w:rsid w:val="00756AD8"/>
    <w:rsid w:val="00791508"/>
    <w:rsid w:val="007A184E"/>
    <w:rsid w:val="00800415"/>
    <w:rsid w:val="00806AEC"/>
    <w:rsid w:val="0081764F"/>
    <w:rsid w:val="00830172"/>
    <w:rsid w:val="008B5AAD"/>
    <w:rsid w:val="00951A01"/>
    <w:rsid w:val="009740BF"/>
    <w:rsid w:val="00A37E0A"/>
    <w:rsid w:val="00A4682C"/>
    <w:rsid w:val="00A50AFC"/>
    <w:rsid w:val="00B00EE7"/>
    <w:rsid w:val="00B045CD"/>
    <w:rsid w:val="00B157A2"/>
    <w:rsid w:val="00B17D92"/>
    <w:rsid w:val="00B44043"/>
    <w:rsid w:val="00B878C8"/>
    <w:rsid w:val="00BB7873"/>
    <w:rsid w:val="00BC04D2"/>
    <w:rsid w:val="00BD3D15"/>
    <w:rsid w:val="00BF36AD"/>
    <w:rsid w:val="00C22EDB"/>
    <w:rsid w:val="00C36A3D"/>
    <w:rsid w:val="00C4005F"/>
    <w:rsid w:val="00C71511"/>
    <w:rsid w:val="00D92C95"/>
    <w:rsid w:val="00E04B98"/>
    <w:rsid w:val="00E34E68"/>
    <w:rsid w:val="00E62A11"/>
    <w:rsid w:val="00EF37ED"/>
    <w:rsid w:val="00F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1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30</cp:revision>
  <cp:lastPrinted>2021-04-15T10:29:00Z</cp:lastPrinted>
  <dcterms:created xsi:type="dcterms:W3CDTF">2020-04-15T08:42:00Z</dcterms:created>
  <dcterms:modified xsi:type="dcterms:W3CDTF">2021-12-30T11:09:00Z</dcterms:modified>
</cp:coreProperties>
</file>