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2167" w14:textId="77777777" w:rsidR="000E1BD9" w:rsidRPr="000E1BD9" w:rsidRDefault="000E1BD9" w:rsidP="00DA3F49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14:paraId="11ED6F9F" w14:textId="6ACBD2C9" w:rsidR="000E1BD9" w:rsidRPr="000E1BD9" w:rsidRDefault="000E1BD9" w:rsidP="001373B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383055">
        <w:rPr>
          <w:rFonts w:ascii="Arial" w:hAnsi="Arial"/>
          <w:sz w:val="20"/>
        </w:rPr>
        <w:t>istrza Miasta Żagań Nr .. / 20</w:t>
      </w:r>
      <w:r w:rsidR="00D33685">
        <w:rPr>
          <w:rFonts w:ascii="Arial" w:hAnsi="Arial"/>
          <w:sz w:val="20"/>
        </w:rPr>
        <w:t>21</w:t>
      </w:r>
      <w:r w:rsidR="001373B7">
        <w:rPr>
          <w:rFonts w:ascii="Arial" w:hAnsi="Arial"/>
          <w:sz w:val="20"/>
        </w:rPr>
        <w:t xml:space="preserve"> z dnia … </w:t>
      </w:r>
      <w:r w:rsidR="00D33685">
        <w:rPr>
          <w:rFonts w:ascii="Arial" w:hAnsi="Arial"/>
          <w:sz w:val="20"/>
        </w:rPr>
        <w:t>grudnia 2021</w:t>
      </w:r>
      <w:r w:rsidRPr="000E1BD9">
        <w:rPr>
          <w:rFonts w:ascii="Arial" w:hAnsi="Arial"/>
          <w:sz w:val="20"/>
        </w:rPr>
        <w:t xml:space="preserve"> roku</w:t>
      </w:r>
    </w:p>
    <w:p w14:paraId="5CDFDC56" w14:textId="29740449"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nieogran</w:t>
      </w:r>
      <w:r w:rsidR="001373B7">
        <w:rPr>
          <w:sz w:val="20"/>
        </w:rPr>
        <w:t>iczonego przy ul.</w:t>
      </w:r>
      <w:r w:rsidR="00D33685">
        <w:rPr>
          <w:sz w:val="20"/>
        </w:rPr>
        <w:t xml:space="preserve"> Bolesławieckiej / Asnyka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14:paraId="6EAFE3A9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1314A437" w14:textId="77777777"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14:paraId="19EC84B6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21ABEC79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14:paraId="5B9B93D4" w14:textId="77777777"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14:paraId="7A831CDB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12F6EC88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25DCD155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23577F00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14:paraId="16612BEC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6CBDC13A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14:paraId="46AAD19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22369F7D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249142E6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14:paraId="73C025C7" w14:textId="77777777"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14:paraId="2D763449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2AC0AB10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3C6F56C9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58F8D673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28DEBA7A" w14:textId="77777777"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14:paraId="03A4A793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5EBD704B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2489C870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54DB2656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65A8D2D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0AE6F2AF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6B9ACD37" w14:textId="77777777" w:rsidTr="005305FA">
        <w:trPr>
          <w:trHeight w:val="202"/>
          <w:jc w:val="center"/>
        </w:trPr>
        <w:tc>
          <w:tcPr>
            <w:tcW w:w="1238" w:type="dxa"/>
          </w:tcPr>
          <w:p w14:paraId="5D47E06D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2979AFF5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3C60153C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4D1B605C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2E4C80CA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47F5974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33B96D1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14:paraId="5BAF5844" w14:textId="77777777" w:rsidTr="005305FA">
        <w:trPr>
          <w:cantSplit/>
          <w:trHeight w:val="1688"/>
          <w:jc w:val="center"/>
        </w:trPr>
        <w:tc>
          <w:tcPr>
            <w:tcW w:w="1238" w:type="dxa"/>
          </w:tcPr>
          <w:p w14:paraId="2CBFAA39" w14:textId="77777777" w:rsidR="000E1BD9" w:rsidRPr="00E21B1E" w:rsidRDefault="000E1BD9" w:rsidP="005305FA">
            <w:pPr>
              <w:jc w:val="center"/>
              <w:rPr>
                <w:sz w:val="20"/>
                <w:szCs w:val="18"/>
              </w:rPr>
            </w:pPr>
            <w:r w:rsidRPr="00E21B1E">
              <w:rPr>
                <w:sz w:val="20"/>
                <w:szCs w:val="18"/>
              </w:rPr>
              <w:t xml:space="preserve">Żagań ul. </w:t>
            </w:r>
          </w:p>
          <w:p w14:paraId="4FF20E45" w14:textId="188D566E" w:rsidR="000E1BD9" w:rsidRPr="0097258F" w:rsidRDefault="00104AA0" w:rsidP="005305FA">
            <w:pPr>
              <w:jc w:val="center"/>
            </w:pPr>
            <w:r w:rsidRPr="00E21B1E">
              <w:rPr>
                <w:sz w:val="20"/>
                <w:szCs w:val="18"/>
              </w:rPr>
              <w:t xml:space="preserve">Bolesławiecka / </w:t>
            </w:r>
            <w:r w:rsidR="001373B7" w:rsidRPr="00E21B1E">
              <w:rPr>
                <w:sz w:val="20"/>
                <w:szCs w:val="18"/>
              </w:rPr>
              <w:t>A</w:t>
            </w:r>
            <w:r w:rsidR="000E1BD9" w:rsidRPr="00E21B1E">
              <w:rPr>
                <w:sz w:val="20"/>
                <w:szCs w:val="18"/>
              </w:rPr>
              <w:t>snyka strefa podmiejska</w:t>
            </w:r>
          </w:p>
        </w:tc>
        <w:tc>
          <w:tcPr>
            <w:tcW w:w="4820" w:type="dxa"/>
            <w:vMerge w:val="restart"/>
          </w:tcPr>
          <w:p w14:paraId="141A4470" w14:textId="735FBC3A" w:rsidR="000E1BD9" w:rsidRPr="00496C96" w:rsidRDefault="000E1BD9" w:rsidP="00383055">
            <w:pPr>
              <w:jc w:val="both"/>
              <w:rPr>
                <w:color w:val="000000"/>
                <w:sz w:val="20"/>
              </w:rPr>
            </w:pPr>
            <w:r w:rsidRPr="00496C96">
              <w:rPr>
                <w:color w:val="000000"/>
                <w:sz w:val="20"/>
              </w:rPr>
              <w:t xml:space="preserve">Grunt niezabudowany i niezagospodarowany, </w:t>
            </w:r>
            <w:r w:rsidR="00104AA0">
              <w:rPr>
                <w:color w:val="000000"/>
                <w:sz w:val="20"/>
              </w:rPr>
              <w:t>położony w sąsiedztwie zabudowy mieszkaniowej jednorodzinnej oraz wielorodzinnej. Teren nieruchomości nierówny, w zagłębieniu terenu względem ulicy Bolesławieckiej. Dojazd do nieruchomości od strony ul. Asnyka</w:t>
            </w:r>
            <w:r w:rsidR="00E21B1E">
              <w:rPr>
                <w:color w:val="000000"/>
                <w:sz w:val="20"/>
              </w:rPr>
              <w:t xml:space="preserve"> – drogą o nawierzchni utwardzonej. Ewentualne wykonanie zjazdu od strony ul. Bolesławieckiej, należeć będzie do inwestora.</w:t>
            </w:r>
            <w:r w:rsidR="0068248D">
              <w:rPr>
                <w:color w:val="000000"/>
                <w:sz w:val="20"/>
              </w:rPr>
              <w:t xml:space="preserve"> Dostęp do sieci uzbrojenia dobry – sieci znajdują się w ul. Bolesławickiej oraz ul. Asnyka. Bezpośrednie włączenie nieruchomości do sieci uzbrojenia, należeć będzie do inwestora. Wzdłuż południowo zachodniej granicy nieruchomości ulokowany jest kabel telekomunikacyjny</w:t>
            </w:r>
            <w:r w:rsidR="00BF5154">
              <w:rPr>
                <w:color w:val="000000"/>
                <w:sz w:val="20"/>
              </w:rPr>
              <w:t>, którego istnienie należy uwzględnić w procesie inwestycyjnym. Przy północnej granicy nieruchomości, na odcinku około 24 m, bezpośrednio przy granicy nieruchomości, znajduje się zabudowa gospodarcza. Celem zapewnienia dostępu do</w:t>
            </w:r>
            <w:r w:rsidR="00D032E5">
              <w:rPr>
                <w:color w:val="000000"/>
                <w:sz w:val="20"/>
              </w:rPr>
              <w:t xml:space="preserve"> elewacji</w:t>
            </w:r>
            <w:r w:rsidR="00BF5154">
              <w:rPr>
                <w:color w:val="000000"/>
                <w:sz w:val="20"/>
              </w:rPr>
              <w:t xml:space="preserve"> budynku, przy sprzedaży nieruchomości zostanie ustanowiona</w:t>
            </w:r>
            <w:r w:rsidR="00AC65D6">
              <w:rPr>
                <w:color w:val="000000"/>
                <w:sz w:val="20"/>
              </w:rPr>
              <w:t xml:space="preserve"> nieodpłatna</w:t>
            </w:r>
            <w:r w:rsidR="00BF5154">
              <w:rPr>
                <w:color w:val="000000"/>
                <w:sz w:val="20"/>
              </w:rPr>
              <w:t xml:space="preserve"> służebność zapewniająca dostęp do budynku.</w:t>
            </w:r>
          </w:p>
        </w:tc>
        <w:tc>
          <w:tcPr>
            <w:tcW w:w="2126" w:type="dxa"/>
            <w:vMerge w:val="restart"/>
          </w:tcPr>
          <w:p w14:paraId="4EC02838" w14:textId="62D79B74" w:rsidR="000E1BD9" w:rsidRPr="00E92479" w:rsidRDefault="00E92479" w:rsidP="00E92479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Zgodnie z obowiązującym miejscowym planem zagospodarowania przestrzennego, nieruchomość położona jest w obszarze, oznaczonym symbolem MN – oznaczającym teren zabudowy mieszkaniowej jednorodzinnej</w:t>
            </w:r>
          </w:p>
        </w:tc>
        <w:tc>
          <w:tcPr>
            <w:tcW w:w="1757" w:type="dxa"/>
          </w:tcPr>
          <w:p w14:paraId="3CD3DAA4" w14:textId="77777777" w:rsidR="000E1BD9" w:rsidRPr="00E92479" w:rsidRDefault="000E1BD9" w:rsidP="005305FA">
            <w:pPr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14:paraId="26778771" w14:textId="77777777" w:rsidR="000E1BD9" w:rsidRPr="00E92479" w:rsidRDefault="000E1BD9" w:rsidP="005305FA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Termin złożenia wniosku nie może być krótszy niż 6 tygodni licząc od dnia wywieszenia wykazu.</w:t>
            </w:r>
          </w:p>
          <w:p w14:paraId="5293C6ED" w14:textId="77777777" w:rsidR="000E1BD9" w:rsidRPr="00E92479" w:rsidRDefault="000E1BD9" w:rsidP="005305FA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0A4359E0" w14:textId="77777777" w:rsidR="000E1BD9" w:rsidRPr="00E92479" w:rsidRDefault="000E1BD9" w:rsidP="005305FA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842" w:type="dxa"/>
          </w:tcPr>
          <w:p w14:paraId="54DBAFCE" w14:textId="77777777" w:rsidR="000E1BD9" w:rsidRPr="00E92479" w:rsidRDefault="000E1BD9" w:rsidP="005305FA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  <w:p w14:paraId="0AF44BFA" w14:textId="7C131C6A" w:rsidR="000E1BD9" w:rsidRPr="00E92479" w:rsidRDefault="00F0412D" w:rsidP="005305F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>475</w:t>
            </w:r>
            <w:r w:rsidR="000E1BD9" w:rsidRPr="00E92479">
              <w:rPr>
                <w:b/>
                <w:color w:val="FF0000"/>
                <w:sz w:val="20"/>
                <w:szCs w:val="18"/>
              </w:rPr>
              <w:t>.000,00</w:t>
            </w:r>
          </w:p>
        </w:tc>
        <w:tc>
          <w:tcPr>
            <w:tcW w:w="1578" w:type="dxa"/>
            <w:vMerge w:val="restart"/>
          </w:tcPr>
          <w:p w14:paraId="59137D00" w14:textId="77777777" w:rsidR="000E1BD9" w:rsidRPr="00E92479" w:rsidRDefault="000E1BD9" w:rsidP="005305FA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Należność za grunt nabywca zobowiązany jest zapłacić w całości najpóźniej przed podpisaniem umowy notarialnej.</w:t>
            </w:r>
          </w:p>
        </w:tc>
      </w:tr>
      <w:tr w:rsidR="000E1BD9" w14:paraId="44380A18" w14:textId="77777777" w:rsidTr="005305FA">
        <w:trPr>
          <w:cantSplit/>
          <w:trHeight w:val="1686"/>
          <w:jc w:val="center"/>
        </w:trPr>
        <w:tc>
          <w:tcPr>
            <w:tcW w:w="1238" w:type="dxa"/>
          </w:tcPr>
          <w:p w14:paraId="4A7AF95A" w14:textId="77777777" w:rsidR="00104AA0" w:rsidRDefault="00104AA0" w:rsidP="00104AA0">
            <w:pPr>
              <w:pStyle w:val="Nagwek3"/>
              <w:rPr>
                <w:sz w:val="20"/>
                <w:szCs w:val="18"/>
              </w:rPr>
            </w:pPr>
          </w:p>
          <w:p w14:paraId="42A2D919" w14:textId="53143D28" w:rsidR="000E1BD9" w:rsidRPr="00104AA0" w:rsidRDefault="00104AA0" w:rsidP="00104AA0">
            <w:pPr>
              <w:pStyle w:val="Nagwek3"/>
              <w:rPr>
                <w:sz w:val="20"/>
                <w:szCs w:val="18"/>
              </w:rPr>
            </w:pPr>
            <w:r w:rsidRPr="00104AA0">
              <w:rPr>
                <w:sz w:val="20"/>
                <w:szCs w:val="18"/>
              </w:rPr>
              <w:t>ZG1G/00050741/9</w:t>
            </w:r>
          </w:p>
          <w:p w14:paraId="69DE8129" w14:textId="77777777" w:rsidR="00104AA0" w:rsidRDefault="00104AA0" w:rsidP="00104AA0">
            <w:pPr>
              <w:jc w:val="center"/>
              <w:rPr>
                <w:b/>
                <w:sz w:val="20"/>
                <w:szCs w:val="18"/>
              </w:rPr>
            </w:pPr>
          </w:p>
          <w:p w14:paraId="70DA1ECA" w14:textId="6ABCD905" w:rsidR="00104AA0" w:rsidRPr="00104AA0" w:rsidRDefault="00104AA0" w:rsidP="00104AA0">
            <w:pPr>
              <w:jc w:val="center"/>
            </w:pPr>
            <w:r w:rsidRPr="00104AA0">
              <w:rPr>
                <w:b/>
                <w:sz w:val="20"/>
                <w:szCs w:val="18"/>
              </w:rPr>
              <w:t>ZG1G/00050000/3</w:t>
            </w:r>
          </w:p>
        </w:tc>
        <w:tc>
          <w:tcPr>
            <w:tcW w:w="4820" w:type="dxa"/>
            <w:vMerge/>
          </w:tcPr>
          <w:p w14:paraId="7ADC0F69" w14:textId="77777777"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67481BDD" w14:textId="77777777" w:rsidR="000E1BD9" w:rsidRDefault="000E1BD9" w:rsidP="005305FA"/>
        </w:tc>
        <w:tc>
          <w:tcPr>
            <w:tcW w:w="1757" w:type="dxa"/>
            <w:vMerge w:val="restart"/>
          </w:tcPr>
          <w:p w14:paraId="5461DCB4" w14:textId="77777777" w:rsidR="000E1BD9" w:rsidRDefault="000E1BD9" w:rsidP="005305FA">
            <w:pPr>
              <w:rPr>
                <w:color w:val="000000"/>
              </w:rPr>
            </w:pPr>
            <w:r w:rsidRPr="00E92479">
              <w:rPr>
                <w:color w:val="000000"/>
                <w:sz w:val="20"/>
                <w:szCs w:val="18"/>
              </w:rPr>
              <w:t>Nie dotyczy</w:t>
            </w:r>
          </w:p>
        </w:tc>
        <w:tc>
          <w:tcPr>
            <w:tcW w:w="2268" w:type="dxa"/>
            <w:vMerge/>
          </w:tcPr>
          <w:p w14:paraId="495CC30D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06B3A583" w14:textId="77777777"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 w:rsidRPr="00E92479">
              <w:rPr>
                <w:color w:val="000000"/>
                <w:sz w:val="20"/>
                <w:szCs w:val="18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34E1599F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14:paraId="5970C5B7" w14:textId="77777777" w:rsidTr="005305FA">
        <w:trPr>
          <w:cantSplit/>
          <w:trHeight w:val="1686"/>
          <w:jc w:val="center"/>
        </w:trPr>
        <w:tc>
          <w:tcPr>
            <w:tcW w:w="1238" w:type="dxa"/>
          </w:tcPr>
          <w:p w14:paraId="06AC3244" w14:textId="77777777" w:rsidR="00104AA0" w:rsidRDefault="00104AA0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  <w:p w14:paraId="34E812B0" w14:textId="1CBC80F7" w:rsidR="000E1BD9" w:rsidRDefault="00104AA0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1340/5</w:t>
            </w:r>
          </w:p>
          <w:p w14:paraId="4AF05D8F" w14:textId="63BE85AE" w:rsidR="00104AA0" w:rsidRDefault="00104AA0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1341/6</w:t>
            </w:r>
          </w:p>
          <w:p w14:paraId="74813ADF" w14:textId="77777777" w:rsidR="00104AA0" w:rsidRDefault="00104AA0" w:rsidP="005305FA">
            <w:pPr>
              <w:jc w:val="center"/>
              <w:rPr>
                <w:b/>
                <w:color w:val="000000"/>
              </w:rPr>
            </w:pPr>
          </w:p>
          <w:p w14:paraId="4621A6DB" w14:textId="37EC246D" w:rsidR="000E1BD9" w:rsidRDefault="00104AA0" w:rsidP="005305F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6094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14:paraId="140AECE3" w14:textId="77777777"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022E8554" w14:textId="77777777" w:rsidR="000E1BD9" w:rsidRDefault="000E1BD9" w:rsidP="005305FA"/>
        </w:tc>
        <w:tc>
          <w:tcPr>
            <w:tcW w:w="1757" w:type="dxa"/>
            <w:vMerge/>
          </w:tcPr>
          <w:p w14:paraId="4DBD9838" w14:textId="77777777"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7D8578BB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04758D5B" w14:textId="77777777"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2CBC936F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14:paraId="565DE6C1" w14:textId="77777777" w:rsidR="000E1BD9" w:rsidRDefault="000E1BD9" w:rsidP="000E1BD9">
      <w:pPr>
        <w:jc w:val="both"/>
        <w:rPr>
          <w:sz w:val="24"/>
        </w:rPr>
      </w:pPr>
    </w:p>
    <w:p w14:paraId="6B6A5BD1" w14:textId="77777777" w:rsidR="000E1BD9" w:rsidRDefault="000E1BD9" w:rsidP="000E1BD9">
      <w:pPr>
        <w:jc w:val="both"/>
      </w:pPr>
      <w:r>
        <w:t xml:space="preserve"> Data wywieszenia wykazu: .......................................</w:t>
      </w:r>
    </w:p>
    <w:p w14:paraId="6A515BBB" w14:textId="77777777" w:rsidR="000E1BD9" w:rsidRDefault="000E1BD9" w:rsidP="000E1BD9">
      <w:pPr>
        <w:jc w:val="both"/>
      </w:pPr>
    </w:p>
    <w:p w14:paraId="4E390A0C" w14:textId="77777777"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14:paraId="7D434486" w14:textId="77777777"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D9"/>
    <w:rsid w:val="000E1BD9"/>
    <w:rsid w:val="00104AA0"/>
    <w:rsid w:val="001373B7"/>
    <w:rsid w:val="001D45BB"/>
    <w:rsid w:val="00383055"/>
    <w:rsid w:val="00494F47"/>
    <w:rsid w:val="0068248D"/>
    <w:rsid w:val="006B5C0B"/>
    <w:rsid w:val="00AC65D6"/>
    <w:rsid w:val="00B92793"/>
    <w:rsid w:val="00BF5154"/>
    <w:rsid w:val="00D032E5"/>
    <w:rsid w:val="00D33685"/>
    <w:rsid w:val="00DA3F49"/>
    <w:rsid w:val="00E21B1E"/>
    <w:rsid w:val="00E92479"/>
    <w:rsid w:val="00F0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F5A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12</cp:revision>
  <cp:lastPrinted>2021-12-16T09:35:00Z</cp:lastPrinted>
  <dcterms:created xsi:type="dcterms:W3CDTF">2017-03-02T08:08:00Z</dcterms:created>
  <dcterms:modified xsi:type="dcterms:W3CDTF">2021-12-16T09:37:00Z</dcterms:modified>
</cp:coreProperties>
</file>