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 w:rsidR="005A67D6" w:rsidRPr="005A67D6">
        <w:rPr>
          <w:rFonts w:ascii="Arial" w:hAnsi="Arial"/>
          <w:color w:val="000000"/>
          <w:sz w:val="22"/>
          <w:szCs w:val="22"/>
        </w:rPr>
        <w:t>154</w:t>
      </w:r>
      <w:r w:rsidRPr="005A67D6">
        <w:rPr>
          <w:rFonts w:ascii="Arial" w:hAnsi="Arial"/>
          <w:color w:val="000000"/>
          <w:sz w:val="22"/>
          <w:szCs w:val="22"/>
        </w:rPr>
        <w:t xml:space="preserve"> </w:t>
      </w:r>
      <w:r w:rsidRPr="00E07DFC">
        <w:rPr>
          <w:rFonts w:ascii="Arial" w:hAnsi="Arial"/>
          <w:color w:val="000000"/>
          <w:sz w:val="22"/>
          <w:szCs w:val="22"/>
        </w:rPr>
        <w:t>/ 20</w:t>
      </w:r>
      <w:r>
        <w:rPr>
          <w:rFonts w:ascii="Arial" w:hAnsi="Arial"/>
          <w:color w:val="000000"/>
          <w:sz w:val="22"/>
          <w:szCs w:val="22"/>
        </w:rPr>
        <w:t>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 w:rsidR="005A67D6" w:rsidRPr="005A67D6">
        <w:rPr>
          <w:rFonts w:ascii="Arial" w:hAnsi="Arial"/>
          <w:color w:val="000000"/>
          <w:sz w:val="22"/>
          <w:szCs w:val="22"/>
        </w:rPr>
        <w:t>17</w:t>
      </w:r>
      <w:r w:rsidRPr="005A67D6">
        <w:rPr>
          <w:rFonts w:ascii="Arial" w:hAnsi="Arial"/>
          <w:color w:val="000000"/>
          <w:sz w:val="22"/>
          <w:szCs w:val="22"/>
        </w:rPr>
        <w:t xml:space="preserve"> </w:t>
      </w:r>
      <w:r w:rsidR="00AF794F">
        <w:rPr>
          <w:rFonts w:ascii="Arial" w:hAnsi="Arial"/>
          <w:color w:val="000000"/>
          <w:sz w:val="22"/>
          <w:szCs w:val="22"/>
        </w:rPr>
        <w:t>lipca</w:t>
      </w:r>
      <w:r w:rsidR="008974C0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AF794F" w:rsidRPr="00951A01" w:rsidRDefault="00172AF0" w:rsidP="00AF794F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 xml:space="preserve">Na podstawie art.35 ustawy z dnia 21 </w:t>
      </w:r>
      <w:r w:rsidR="00776E56">
        <w:rPr>
          <w:rFonts w:ascii="Arial" w:hAnsi="Arial"/>
          <w:color w:val="000000"/>
          <w:sz w:val="20"/>
          <w:szCs w:val="20"/>
        </w:rPr>
        <w:t xml:space="preserve">sierpnia </w:t>
      </w:r>
      <w:r w:rsidRPr="00E07DFC">
        <w:rPr>
          <w:rFonts w:ascii="Arial" w:hAnsi="Arial"/>
          <w:color w:val="000000"/>
          <w:sz w:val="20"/>
          <w:szCs w:val="20"/>
        </w:rPr>
        <w:t>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</w:t>
      </w:r>
      <w:r w:rsidR="00AF794F">
        <w:rPr>
          <w:rFonts w:ascii="Arial" w:hAnsi="Arial"/>
          <w:color w:val="000000"/>
          <w:sz w:val="20"/>
          <w:szCs w:val="20"/>
        </w:rPr>
        <w:t xml:space="preserve">                                 </w:t>
      </w:r>
      <w:r w:rsidRPr="00E07DFC">
        <w:rPr>
          <w:rFonts w:ascii="Arial" w:hAnsi="Arial"/>
          <w:color w:val="000000"/>
          <w:sz w:val="20"/>
          <w:szCs w:val="20"/>
        </w:rPr>
        <w:t xml:space="preserve">do </w:t>
      </w:r>
      <w:r w:rsidR="00AF794F">
        <w:rPr>
          <w:rFonts w:ascii="Arial" w:hAnsi="Arial"/>
          <w:color w:val="000000"/>
          <w:sz w:val="20"/>
          <w:szCs w:val="20"/>
        </w:rPr>
        <w:t xml:space="preserve">oddania w użytkowanie wieczyste </w:t>
      </w:r>
      <w:r w:rsidRPr="00E07DFC">
        <w:rPr>
          <w:rFonts w:ascii="Arial" w:hAnsi="Arial"/>
          <w:color w:val="000000"/>
          <w:sz w:val="20"/>
          <w:szCs w:val="20"/>
        </w:rPr>
        <w:t xml:space="preserve">w drodze przetargu </w:t>
      </w:r>
      <w:r w:rsidR="00AF794F">
        <w:rPr>
          <w:rFonts w:ascii="Arial" w:hAnsi="Arial"/>
          <w:color w:val="000000"/>
          <w:sz w:val="20"/>
          <w:szCs w:val="20"/>
        </w:rPr>
        <w:t xml:space="preserve">ustnego </w:t>
      </w:r>
      <w:r w:rsidR="00AF794F" w:rsidRPr="00E07DFC">
        <w:rPr>
          <w:rFonts w:ascii="Arial" w:hAnsi="Arial"/>
          <w:color w:val="000000"/>
          <w:sz w:val="20"/>
          <w:szCs w:val="20"/>
        </w:rPr>
        <w:t xml:space="preserve">nieograniczonego </w:t>
      </w:r>
      <w:r w:rsidR="00AF794F">
        <w:rPr>
          <w:rFonts w:ascii="Arial" w:hAnsi="Arial"/>
          <w:color w:val="000000"/>
          <w:sz w:val="20"/>
          <w:szCs w:val="20"/>
        </w:rPr>
        <w:t>niezabudowanej nieruchomości gruntowej położonej przy ul. Krętej w Żaganiu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820"/>
        <w:gridCol w:w="3132"/>
        <w:gridCol w:w="2679"/>
        <w:gridCol w:w="1701"/>
        <w:gridCol w:w="1541"/>
      </w:tblGrid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820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Przeznaczenie gruntu w studium.</w:t>
            </w:r>
          </w:p>
        </w:tc>
        <w:tc>
          <w:tcPr>
            <w:tcW w:w="2679" w:type="dxa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CDE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3D3C57" w:rsidP="004D0D88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>Sposób i t</w:t>
            </w:r>
            <w:r w:rsidR="00172AF0" w:rsidRPr="00D63CDE">
              <w:rPr>
                <w:rFonts w:ascii="Arial" w:hAnsi="Arial"/>
                <w:sz w:val="20"/>
                <w:szCs w:val="20"/>
              </w:rPr>
              <w:t xml:space="preserve">ermin </w:t>
            </w:r>
            <w:proofErr w:type="spellStart"/>
            <w:r w:rsidR="00172AF0" w:rsidRPr="00D63CDE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="00172AF0" w:rsidRPr="00D63C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679" w:type="dxa"/>
          </w:tcPr>
          <w:p w:rsidR="00172AF0" w:rsidRPr="00D63CDE" w:rsidRDefault="009D679B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Pierwsza opłata roczna </w:t>
            </w:r>
            <w:r w:rsidR="003D3C57" w:rsidRPr="00D63CDE">
              <w:rPr>
                <w:rFonts w:ascii="Arial" w:hAnsi="Arial"/>
                <w:b/>
                <w:sz w:val="20"/>
                <w:szCs w:val="20"/>
              </w:rPr>
              <w:t>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2679" w:type="dxa"/>
          </w:tcPr>
          <w:p w:rsidR="00172AF0" w:rsidRPr="00D63CDE" w:rsidRDefault="003D3C57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Opłata roczna 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33149F">
        <w:trPr>
          <w:cantSplit/>
          <w:trHeight w:val="205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820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132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267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541" w:type="dxa"/>
          </w:tcPr>
          <w:p w:rsidR="00172AF0" w:rsidRDefault="001E6E2E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</w:tr>
      <w:tr w:rsidR="00172AF0" w:rsidTr="00DC103C">
        <w:trPr>
          <w:cantSplit/>
          <w:trHeight w:val="1327"/>
          <w:jc w:val="center"/>
        </w:trPr>
        <w:tc>
          <w:tcPr>
            <w:tcW w:w="1828" w:type="dxa"/>
          </w:tcPr>
          <w:p w:rsidR="00172AF0" w:rsidRPr="00D63CDE" w:rsidRDefault="00172AF0" w:rsidP="00AF794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AF794F" w:rsidRPr="00D63CDE">
              <w:rPr>
                <w:rFonts w:ascii="Arial" w:hAnsi="Arial"/>
                <w:sz w:val="20"/>
                <w:szCs w:val="20"/>
              </w:rPr>
              <w:t>Kręta</w:t>
            </w:r>
            <w:r w:rsidRPr="00D63C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172AF0" w:rsidRPr="00E66162" w:rsidRDefault="00AB6209" w:rsidP="0028337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Działka nr 737/3</w:t>
            </w:r>
            <w:r w:rsidR="0028337D">
              <w:rPr>
                <w:rFonts w:ascii="Arial" w:hAnsi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jest niezabudowaną nieruchomością gruntową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o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>pow. 20 m</w:t>
            </w:r>
            <w:r w:rsidR="00EE3197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położoną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przy ul. Krętej.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Kształt gruntu wytyczony przebiegiem granic ograniczający warunki zabudowy. Warunki techniczno-użytkowe nie wymagają dodatkowych nakładów na realizację inwestycji. Teren płaski. 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>Działka znajduje się wewnątrz kompleksu gruntów zabudowanych garażami i działki niezabudowanej stanowiącej drogę dojazdową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i plac manewrowy dla garaży. Usytuowanie regionalne o dobrej atrakcyjności dla inwestorów. Usytuowanie lokalne przeciętne, szczegółowe dobre. Dobre skomunikowanie regionalne. Dobry potencjał rynku lokalnego. Dobry stopień zurbanizowania. Kompozycja urbanistyczna w otoczeniu przeciętna ze względu na przeznaczenie gruntu. W bezpośrednim sąsiedztwie: zabudowa garażowa, cmentarz, zabudowa usługowa. W otoczeniu zabudowa mieszkaniowa wielorodzinna i jednorodzinna. Bardzo dobry poziom obsługi przez instytucje publiczne. Nieruchomość położona na obszarach wyposażonych w urządzenia infrastruktury technicznej: elektryczne, wodociągowe. Istnieją możliwości w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>ykonania przyłączy. Istnieje po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łączenie nieruchomości z oświetloną drogą publiczną o nawierzchni utwardzonej, betonowej – ul. Kożuchowska. 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>Nabywca musi wystąpić o wydanie decyzji o waru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 xml:space="preserve">nkach zabudowy przed inwestycją 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>z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 xml:space="preserve"> uwagi na brak miejscowego planu zagospodarowania przestrzennego.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Dla działki nr 737/29 ustanowione jest w częściach ułamkowych prawo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uż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ytkowan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wieczystego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gruntu do dnia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19.12.2040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r.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dla właścicieli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garaży położonych na wydzielonych działkach, dla których stanowi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ona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drogę dojazd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ową i plac manewrowy dla garaży.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Brak miejscowego planu zagospodarowania przestrzennego. Zgodnie z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e Zmianą</w:t>
            </w: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Studium Uwarunkowań i Kierunków Zagospodarowania Przestrzennego Gminy Miejskiej Żagań nieruchomość znajduje się w 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jednostce oznaczającej projektowane tereny usług.</w:t>
            </w:r>
          </w:p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79" w:type="dxa"/>
          </w:tcPr>
          <w:p w:rsidR="00D63CDE" w:rsidRPr="0033149F" w:rsidRDefault="00D63CDE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3149F">
              <w:rPr>
                <w:rFonts w:ascii="Arial" w:hAnsi="Arial"/>
                <w:color w:val="000000"/>
                <w:sz w:val="20"/>
                <w:szCs w:val="20"/>
              </w:rPr>
              <w:t xml:space="preserve">Wartość gruntu wraz z udziałem w prawie </w:t>
            </w:r>
            <w:proofErr w:type="spellStart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użytk</w:t>
            </w:r>
            <w:proofErr w:type="spellEnd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. wieczystego</w:t>
            </w:r>
          </w:p>
          <w:p w:rsidR="00D63CDE" w:rsidRP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D63CD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5.500,00                       </w:t>
            </w:r>
          </w:p>
          <w:p w:rsid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  <w:p w:rsidR="00D63CDE" w:rsidRPr="00DC103C" w:rsidRDefault="00D63CDE" w:rsidP="00D63CDE">
            <w:pPr>
              <w:jc w:val="center"/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 tym:</w:t>
            </w:r>
          </w:p>
          <w:p w:rsidR="00172AF0" w:rsidRPr="00DC103C" w:rsidRDefault="009D679B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gruntu</w:t>
            </w:r>
          </w:p>
          <w:p w:rsidR="00685065" w:rsidRPr="00DC103C" w:rsidRDefault="00AF794F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2.100</w:t>
            </w:r>
            <w:r w:rsidR="00685065" w:rsidRPr="00DC103C">
              <w:rPr>
                <w:rFonts w:ascii="Arial" w:hAnsi="Arial"/>
                <w:color w:val="000000"/>
                <w:sz w:val="18"/>
                <w:szCs w:val="18"/>
              </w:rPr>
              <w:t xml:space="preserve">,00 zł 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udziału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3.400,00 zł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</w:p>
          <w:p w:rsidR="009D679B" w:rsidRPr="00DC103C" w:rsidRDefault="009D679B" w:rsidP="009D679B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Do ceny zbycia </w:t>
            </w:r>
            <w:r w:rsidR="00AC5397"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i opłaty rocznej </w:t>
            </w:r>
            <w:r w:rsidRPr="00DC103C">
              <w:rPr>
                <w:rFonts w:ascii="Arial" w:hAnsi="Arial"/>
                <w:color w:val="000000"/>
                <w:sz w:val="20"/>
                <w:szCs w:val="20"/>
              </w:rPr>
              <w:t>dolicza się podatek VAT w wysokości 23%</w:t>
            </w:r>
            <w:r w:rsidRPr="00DC103C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D679B" w:rsidRPr="009D679B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można składać </w:t>
            </w:r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ciągu 6 tygodni licząc od dnia wywieszenia wykazu.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 xml:space="preserve">Dz.U.2018.121 </w:t>
            </w:r>
            <w:r w:rsidRPr="00D63CDE">
              <w:rPr>
                <w:rFonts w:ascii="Arial" w:hAnsi="Arial" w:cs="Arial"/>
                <w:sz w:val="20"/>
                <w:szCs w:val="20"/>
              </w:rPr>
              <w:t>z póź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>n</w:t>
            </w:r>
            <w:r w:rsidRPr="00D63CDE">
              <w:rPr>
                <w:rFonts w:ascii="Arial" w:hAnsi="Arial" w:cs="Arial"/>
                <w:sz w:val="20"/>
                <w:szCs w:val="20"/>
              </w:rPr>
              <w:t>.zm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541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172AF0" w:rsidTr="00DC103C">
        <w:trPr>
          <w:cantSplit/>
          <w:trHeight w:val="4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5EAD">
              <w:rPr>
                <w:rFonts w:ascii="Arial" w:hAnsi="Arial"/>
                <w:b/>
                <w:sz w:val="20"/>
                <w:szCs w:val="20"/>
              </w:rPr>
              <w:t xml:space="preserve">KW </w:t>
            </w:r>
            <w:r w:rsidR="00AF794F">
              <w:rPr>
                <w:rFonts w:ascii="Arial" w:hAnsi="Arial"/>
                <w:b/>
                <w:sz w:val="20"/>
                <w:szCs w:val="20"/>
              </w:rPr>
              <w:t xml:space="preserve">gruntu </w:t>
            </w:r>
            <w:r w:rsidR="00465EAD" w:rsidRPr="00465EAD"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9D679B">
              <w:rPr>
                <w:rFonts w:ascii="Arial" w:hAnsi="Arial"/>
                <w:b/>
                <w:sz w:val="20"/>
                <w:szCs w:val="20"/>
              </w:rPr>
              <w:t>00060319/5</w:t>
            </w:r>
          </w:p>
          <w:p w:rsidR="00EF3140" w:rsidRDefault="00EF314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KW gruntu</w:t>
            </w:r>
          </w:p>
          <w:p w:rsidR="00EF3140" w:rsidRPr="00465EAD" w:rsidRDefault="00EF3140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9D679B">
              <w:rPr>
                <w:rFonts w:ascii="Arial" w:hAnsi="Arial"/>
                <w:b/>
                <w:sz w:val="20"/>
                <w:szCs w:val="20"/>
              </w:rPr>
              <w:t>00051763/6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3D3C57" w:rsidP="003643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Nieruchomość gruntowa niezabudowana prz</w:t>
            </w:r>
            <w:r w:rsidR="0036433F" w:rsidRPr="00D63CDE">
              <w:rPr>
                <w:rFonts w:ascii="Arial" w:hAnsi="Arial"/>
                <w:color w:val="000000"/>
                <w:sz w:val="20"/>
                <w:szCs w:val="20"/>
              </w:rPr>
              <w:t>eznaczona pod zabudowę garażową.</w:t>
            </w:r>
          </w:p>
        </w:tc>
        <w:tc>
          <w:tcPr>
            <w:tcW w:w="2679" w:type="dxa"/>
          </w:tcPr>
          <w:p w:rsidR="00AC5397" w:rsidRPr="00D63CDE" w:rsidRDefault="009D679B" w:rsidP="00D63CD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25% ceny nieruchomości</w:t>
            </w:r>
            <w:r w:rsidR="003D3C57"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gruntowej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DC103C">
        <w:trPr>
          <w:cantSplit/>
          <w:trHeight w:val="1686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737/3</w:t>
            </w:r>
            <w:r w:rsidR="0028337D">
              <w:rPr>
                <w:rFonts w:ascii="Arial" w:hAnsi="Arial"/>
                <w:b/>
                <w:sz w:val="20"/>
                <w:szCs w:val="20"/>
              </w:rPr>
              <w:t>9</w:t>
            </w: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20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m</w:t>
            </w:r>
            <w:r w:rsidR="00172AF0" w:rsidRPr="00D63CDE">
              <w:rPr>
                <w:rFonts w:ascii="Arial" w:hAnsi="Arial"/>
                <w:b/>
                <w:sz w:val="20"/>
                <w:szCs w:val="20"/>
                <w:vertAlign w:val="superscript"/>
              </w:rPr>
              <w:t>2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737/29</w:t>
            </w:r>
          </w:p>
          <w:p w:rsidR="00172AF0" w:rsidRDefault="009D679B" w:rsidP="004D0D88">
            <w:pPr>
              <w:jc w:val="center"/>
              <w:rPr>
                <w:rFonts w:ascii="Arial" w:hAnsi="Arial"/>
                <w:b/>
                <w:sz w:val="22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11123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</w:rPr>
              <w:t>m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Przetarg ustny nieograniczony.</w:t>
            </w:r>
          </w:p>
        </w:tc>
        <w:tc>
          <w:tcPr>
            <w:tcW w:w="2679" w:type="dxa"/>
          </w:tcPr>
          <w:p w:rsidR="00172AF0" w:rsidRPr="00D63CDE" w:rsidRDefault="003D3C57" w:rsidP="003D3C5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Stawka 3%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Default="00172AF0" w:rsidP="00172AF0">
      <w:pPr>
        <w:jc w:val="both"/>
        <w:rPr>
          <w:rFonts w:ascii="Arial" w:hAnsi="Arial"/>
          <w:sz w:val="24"/>
        </w:rPr>
      </w:pPr>
    </w:p>
    <w:p w:rsidR="00172AF0" w:rsidRPr="00C52D90" w:rsidRDefault="005A67D6" w:rsidP="00172AF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Data wywieszenia wykazu: 17.07.2018 r.</w:t>
      </w:r>
      <w:bookmarkStart w:id="0" w:name="_GoBack"/>
      <w:bookmarkEnd w:id="0"/>
    </w:p>
    <w:p w:rsidR="00172AF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7C7FA1" w:rsidRPr="00465EAD" w:rsidRDefault="007C7FA1">
      <w:pPr>
        <w:rPr>
          <w:rFonts w:ascii="Arial" w:hAnsi="Arial"/>
          <w:sz w:val="16"/>
          <w:szCs w:val="16"/>
        </w:rPr>
      </w:pPr>
    </w:p>
    <w:sectPr w:rsidR="007C7FA1" w:rsidRPr="00465EAD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0"/>
    <w:rsid w:val="00172AF0"/>
    <w:rsid w:val="001E6E2E"/>
    <w:rsid w:val="0028337D"/>
    <w:rsid w:val="002E3940"/>
    <w:rsid w:val="0033149F"/>
    <w:rsid w:val="0036433F"/>
    <w:rsid w:val="003D3C57"/>
    <w:rsid w:val="004428A8"/>
    <w:rsid w:val="00465EAD"/>
    <w:rsid w:val="005A67D6"/>
    <w:rsid w:val="005C1651"/>
    <w:rsid w:val="00685065"/>
    <w:rsid w:val="00776E56"/>
    <w:rsid w:val="007C7FA1"/>
    <w:rsid w:val="008974C0"/>
    <w:rsid w:val="00976AF4"/>
    <w:rsid w:val="009D679B"/>
    <w:rsid w:val="00AB6209"/>
    <w:rsid w:val="00AC5397"/>
    <w:rsid w:val="00AE38D1"/>
    <w:rsid w:val="00AF794F"/>
    <w:rsid w:val="00B5507D"/>
    <w:rsid w:val="00B65EC0"/>
    <w:rsid w:val="00C10CC1"/>
    <w:rsid w:val="00CA559F"/>
    <w:rsid w:val="00CE5404"/>
    <w:rsid w:val="00D63CDE"/>
    <w:rsid w:val="00DC103C"/>
    <w:rsid w:val="00E202E9"/>
    <w:rsid w:val="00EE3197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03F8-1A18-4B78-9EF5-27FF58B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2018-06-29T07:41:00Z</cp:lastPrinted>
  <dcterms:created xsi:type="dcterms:W3CDTF">2018-07-10T05:55:00Z</dcterms:created>
  <dcterms:modified xsi:type="dcterms:W3CDTF">2018-07-17T06:28:00Z</dcterms:modified>
</cp:coreProperties>
</file>