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C8" w:rsidRPr="00951A01" w:rsidRDefault="00B878C8" w:rsidP="00951A01">
      <w:pPr>
        <w:pStyle w:val="Tytu"/>
        <w:rPr>
          <w:rFonts w:ascii="Arial" w:hAnsi="Arial"/>
          <w:sz w:val="20"/>
          <w:szCs w:val="20"/>
        </w:rPr>
      </w:pPr>
      <w:bookmarkStart w:id="0" w:name="_Hlk496606081"/>
      <w:r w:rsidRPr="00951A01">
        <w:rPr>
          <w:rFonts w:ascii="Arial" w:hAnsi="Arial"/>
          <w:sz w:val="20"/>
          <w:szCs w:val="20"/>
        </w:rPr>
        <w:t>WYKAZ NIERUCHOMOŚCI WYZNACZONEJ DO SPRZEDAŻY</w:t>
      </w:r>
    </w:p>
    <w:p w:rsidR="00B878C8" w:rsidRPr="00951A01" w:rsidRDefault="00B878C8" w:rsidP="00B878C8">
      <w:pPr>
        <w:pStyle w:val="Podtytu"/>
        <w:rPr>
          <w:rFonts w:ascii="Arial" w:hAnsi="Arial"/>
          <w:color w:val="000000"/>
          <w:sz w:val="20"/>
          <w:szCs w:val="20"/>
        </w:rPr>
      </w:pPr>
      <w:r w:rsidRPr="00951A01">
        <w:rPr>
          <w:rFonts w:ascii="Arial" w:hAnsi="Arial"/>
          <w:color w:val="000000"/>
          <w:sz w:val="20"/>
          <w:szCs w:val="20"/>
        </w:rPr>
        <w:t xml:space="preserve">Załącznik do Zarządzenia Burmistrza Miasta Żagań Nr </w:t>
      </w:r>
      <w:r w:rsidR="00756AD8" w:rsidRPr="00756AD8">
        <w:rPr>
          <w:rFonts w:ascii="Arial" w:hAnsi="Arial"/>
          <w:color w:val="000000"/>
          <w:sz w:val="20"/>
          <w:szCs w:val="20"/>
        </w:rPr>
        <w:t>62</w:t>
      </w:r>
      <w:r w:rsidRPr="00951A01">
        <w:rPr>
          <w:rFonts w:ascii="Arial" w:hAnsi="Arial"/>
          <w:color w:val="000000"/>
          <w:sz w:val="20"/>
          <w:szCs w:val="20"/>
        </w:rPr>
        <w:t xml:space="preserve"> / 20</w:t>
      </w:r>
      <w:r w:rsidR="003E5AE3" w:rsidRPr="00951A01">
        <w:rPr>
          <w:rFonts w:ascii="Arial" w:hAnsi="Arial"/>
          <w:color w:val="000000"/>
          <w:sz w:val="20"/>
          <w:szCs w:val="20"/>
        </w:rPr>
        <w:t>1</w:t>
      </w:r>
      <w:r w:rsidR="00234634">
        <w:rPr>
          <w:rFonts w:ascii="Arial" w:hAnsi="Arial"/>
          <w:color w:val="000000"/>
          <w:sz w:val="20"/>
          <w:szCs w:val="20"/>
        </w:rPr>
        <w:t>8</w:t>
      </w:r>
      <w:r w:rsidRPr="00951A01">
        <w:rPr>
          <w:rFonts w:ascii="Arial" w:hAnsi="Arial"/>
          <w:color w:val="000000"/>
          <w:sz w:val="20"/>
          <w:szCs w:val="20"/>
        </w:rPr>
        <w:t xml:space="preserve"> z dnia </w:t>
      </w:r>
      <w:bookmarkStart w:id="1" w:name="_GoBack"/>
      <w:r w:rsidR="00756AD8" w:rsidRPr="00756AD8">
        <w:rPr>
          <w:rFonts w:ascii="Arial" w:hAnsi="Arial"/>
          <w:color w:val="000000"/>
          <w:sz w:val="20"/>
          <w:szCs w:val="20"/>
        </w:rPr>
        <w:t>26</w:t>
      </w:r>
      <w:bookmarkEnd w:id="1"/>
      <w:r w:rsidR="00756AD8">
        <w:rPr>
          <w:rFonts w:ascii="Arial" w:hAnsi="Arial"/>
          <w:b w:val="0"/>
          <w:color w:val="000000"/>
          <w:sz w:val="20"/>
          <w:szCs w:val="20"/>
        </w:rPr>
        <w:t xml:space="preserve"> </w:t>
      </w:r>
      <w:r w:rsidR="00234634">
        <w:rPr>
          <w:rFonts w:ascii="Arial" w:hAnsi="Arial"/>
          <w:color w:val="000000"/>
          <w:sz w:val="20"/>
          <w:szCs w:val="20"/>
        </w:rPr>
        <w:t>marca</w:t>
      </w:r>
      <w:r w:rsidR="006528AA">
        <w:rPr>
          <w:rFonts w:ascii="Arial" w:hAnsi="Arial"/>
          <w:color w:val="000000"/>
          <w:sz w:val="20"/>
          <w:szCs w:val="20"/>
        </w:rPr>
        <w:t xml:space="preserve"> </w:t>
      </w:r>
      <w:r w:rsidR="003E5AE3" w:rsidRPr="00951A01">
        <w:rPr>
          <w:rFonts w:ascii="Arial" w:hAnsi="Arial"/>
          <w:color w:val="000000"/>
          <w:sz w:val="20"/>
          <w:szCs w:val="20"/>
        </w:rPr>
        <w:t>201</w:t>
      </w:r>
      <w:r w:rsidR="00234634">
        <w:rPr>
          <w:rFonts w:ascii="Arial" w:hAnsi="Arial"/>
          <w:color w:val="000000"/>
          <w:sz w:val="20"/>
          <w:szCs w:val="20"/>
        </w:rPr>
        <w:t>8</w:t>
      </w:r>
      <w:r w:rsidRPr="00951A01">
        <w:rPr>
          <w:rFonts w:ascii="Arial" w:hAnsi="Arial"/>
          <w:color w:val="000000"/>
          <w:sz w:val="20"/>
          <w:szCs w:val="20"/>
        </w:rPr>
        <w:t xml:space="preserve"> roku</w:t>
      </w:r>
    </w:p>
    <w:p w:rsidR="00B878C8" w:rsidRPr="00951A01" w:rsidRDefault="00B878C8" w:rsidP="00B878C8">
      <w:pPr>
        <w:jc w:val="both"/>
        <w:rPr>
          <w:rFonts w:ascii="Arial" w:hAnsi="Arial"/>
          <w:color w:val="000000"/>
          <w:sz w:val="20"/>
          <w:szCs w:val="20"/>
        </w:rPr>
      </w:pPr>
      <w:r w:rsidRPr="00951A01">
        <w:rPr>
          <w:rFonts w:ascii="Arial" w:hAnsi="Arial"/>
          <w:color w:val="000000"/>
          <w:sz w:val="20"/>
          <w:szCs w:val="20"/>
        </w:rPr>
        <w:t>Na podstawie art.35 ustawy z dnia 21 lipca 1997 r. o gospodarce nieruchomościami Burmistrz Miasta Żagań podaje do publicznej wiadomości informację o wyznaczeniu do sprzedaży w dro</w:t>
      </w:r>
      <w:r w:rsidR="006528AA">
        <w:rPr>
          <w:rFonts w:ascii="Arial" w:hAnsi="Arial"/>
          <w:color w:val="000000"/>
          <w:sz w:val="20"/>
          <w:szCs w:val="20"/>
        </w:rPr>
        <w:t xml:space="preserve">dze nieograniczonego przetargu niezabudowanej nieruchomości gruntowej położonej przy ul. </w:t>
      </w:r>
      <w:r w:rsidR="006A6FFA">
        <w:rPr>
          <w:rFonts w:ascii="Arial" w:hAnsi="Arial"/>
          <w:color w:val="000000"/>
          <w:sz w:val="20"/>
          <w:szCs w:val="20"/>
        </w:rPr>
        <w:t>Dolnej</w:t>
      </w:r>
      <w:r w:rsidR="006528AA">
        <w:rPr>
          <w:rFonts w:ascii="Arial" w:hAnsi="Arial"/>
          <w:color w:val="000000"/>
          <w:sz w:val="20"/>
          <w:szCs w:val="20"/>
        </w:rPr>
        <w:t xml:space="preserve"> w Żaganiu</w:t>
      </w:r>
    </w:p>
    <w:p w:rsidR="00B878C8" w:rsidRPr="00951A01" w:rsidRDefault="00B878C8" w:rsidP="00B878C8">
      <w:pPr>
        <w:jc w:val="both"/>
        <w:rPr>
          <w:rFonts w:ascii="Arial" w:hAnsi="Arial"/>
          <w:b/>
          <w:sz w:val="20"/>
          <w:szCs w:val="20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5102"/>
        <w:gridCol w:w="3119"/>
        <w:gridCol w:w="1843"/>
        <w:gridCol w:w="2410"/>
        <w:gridCol w:w="1668"/>
      </w:tblGrid>
      <w:tr w:rsidR="00B878C8" w:rsidRPr="00951A01" w:rsidTr="00951A01">
        <w:trPr>
          <w:cantSplit/>
          <w:trHeight w:val="520"/>
          <w:jc w:val="center"/>
        </w:trPr>
        <w:tc>
          <w:tcPr>
            <w:tcW w:w="1559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Położenie</w:t>
            </w:r>
          </w:p>
        </w:tc>
        <w:tc>
          <w:tcPr>
            <w:tcW w:w="5102" w:type="dxa"/>
            <w:vMerge w:val="restart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Opis nieruchomości</w:t>
            </w:r>
          </w:p>
        </w:tc>
        <w:tc>
          <w:tcPr>
            <w:tcW w:w="3119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 xml:space="preserve">Przeznaczenie gruntu w </w:t>
            </w:r>
            <w:proofErr w:type="spellStart"/>
            <w:r w:rsidR="00951A01" w:rsidRPr="006528AA">
              <w:rPr>
                <w:rFonts w:ascii="Arial" w:hAnsi="Arial"/>
                <w:b/>
                <w:sz w:val="20"/>
                <w:szCs w:val="20"/>
              </w:rPr>
              <w:t>pzp</w:t>
            </w:r>
            <w:proofErr w:type="spellEnd"/>
            <w:r w:rsidR="00951A01" w:rsidRPr="006528AA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878C8" w:rsidRDefault="00B878C8" w:rsidP="000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AA">
              <w:rPr>
                <w:rFonts w:ascii="Arial" w:hAnsi="Arial" w:cs="Arial"/>
                <w:b/>
                <w:sz w:val="20"/>
                <w:szCs w:val="20"/>
              </w:rPr>
              <w:t>Cena nieruchomości [zł]</w:t>
            </w:r>
          </w:p>
          <w:p w:rsidR="00F57423" w:rsidRPr="006528AA" w:rsidRDefault="00F57423" w:rsidP="000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Sposób zapłaty</w:t>
            </w:r>
          </w:p>
        </w:tc>
      </w:tr>
      <w:tr w:rsidR="00F57423" w:rsidRPr="00951A01" w:rsidTr="00951A01">
        <w:trPr>
          <w:cantSplit/>
          <w:trHeight w:val="520"/>
          <w:jc w:val="center"/>
        </w:trPr>
        <w:tc>
          <w:tcPr>
            <w:tcW w:w="1559" w:type="dxa"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Numer KW</w:t>
            </w:r>
          </w:p>
        </w:tc>
        <w:tc>
          <w:tcPr>
            <w:tcW w:w="5102" w:type="dxa"/>
            <w:vMerge/>
          </w:tcPr>
          <w:p w:rsidR="00F57423" w:rsidRPr="006528AA" w:rsidRDefault="00F57423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57423" w:rsidRPr="006528AA" w:rsidRDefault="00F57423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  <w:r w:rsidRPr="006528AA">
              <w:rPr>
                <w:rFonts w:ascii="Arial" w:hAnsi="Arial"/>
                <w:sz w:val="20"/>
                <w:szCs w:val="20"/>
              </w:rPr>
              <w:t xml:space="preserve">Termin </w:t>
            </w:r>
            <w:proofErr w:type="spellStart"/>
            <w:r w:rsidRPr="006528AA">
              <w:rPr>
                <w:rFonts w:ascii="Arial" w:hAnsi="Arial"/>
                <w:sz w:val="20"/>
                <w:szCs w:val="20"/>
              </w:rPr>
              <w:t>zagosp</w:t>
            </w:r>
            <w:proofErr w:type="spellEnd"/>
            <w:r w:rsidRPr="006528AA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F57423" w:rsidRDefault="00F57423" w:rsidP="00F57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7423" w:rsidRDefault="00F57423" w:rsidP="00F57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7423" w:rsidRPr="00F57423" w:rsidRDefault="00F57423" w:rsidP="00F57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423">
              <w:rPr>
                <w:rFonts w:ascii="Arial" w:hAnsi="Arial" w:cs="Arial"/>
                <w:b/>
                <w:sz w:val="20"/>
                <w:szCs w:val="20"/>
              </w:rPr>
              <w:t>Podatek VAT</w:t>
            </w:r>
          </w:p>
        </w:tc>
        <w:tc>
          <w:tcPr>
            <w:tcW w:w="2410" w:type="dxa"/>
            <w:vMerge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57423" w:rsidRPr="00951A01" w:rsidTr="00951A01">
        <w:trPr>
          <w:cantSplit/>
          <w:trHeight w:val="520"/>
          <w:jc w:val="center"/>
        </w:trPr>
        <w:tc>
          <w:tcPr>
            <w:tcW w:w="1559" w:type="dxa"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Nr. dz. i pow.</w:t>
            </w:r>
          </w:p>
        </w:tc>
        <w:tc>
          <w:tcPr>
            <w:tcW w:w="5102" w:type="dxa"/>
            <w:vMerge/>
          </w:tcPr>
          <w:p w:rsidR="00F57423" w:rsidRPr="006528AA" w:rsidRDefault="00F57423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 xml:space="preserve">Forma zbycia </w:t>
            </w:r>
          </w:p>
        </w:tc>
        <w:tc>
          <w:tcPr>
            <w:tcW w:w="1843" w:type="dxa"/>
            <w:vMerge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878C8" w:rsidRPr="00951A01" w:rsidTr="00951A01">
        <w:trPr>
          <w:cantSplit/>
          <w:trHeight w:val="70"/>
          <w:jc w:val="center"/>
        </w:trPr>
        <w:tc>
          <w:tcPr>
            <w:tcW w:w="1559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2" w:type="dxa"/>
          </w:tcPr>
          <w:p w:rsidR="00B878C8" w:rsidRPr="006528AA" w:rsidRDefault="00B878C8" w:rsidP="000B088D">
            <w:pPr>
              <w:pStyle w:val="Tytu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8" w:type="dxa"/>
          </w:tcPr>
          <w:p w:rsidR="00B878C8" w:rsidRPr="006528AA" w:rsidRDefault="00450A9B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</w:t>
            </w:r>
          </w:p>
        </w:tc>
      </w:tr>
      <w:tr w:rsidR="00B878C8" w:rsidRPr="00951A01" w:rsidTr="00951A01">
        <w:trPr>
          <w:cantSplit/>
          <w:trHeight w:val="1327"/>
          <w:jc w:val="center"/>
        </w:trPr>
        <w:tc>
          <w:tcPr>
            <w:tcW w:w="1559" w:type="dxa"/>
          </w:tcPr>
          <w:p w:rsidR="006528AA" w:rsidRPr="006528AA" w:rsidRDefault="00B878C8" w:rsidP="00D92C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528AA">
              <w:rPr>
                <w:rFonts w:ascii="Arial" w:hAnsi="Arial"/>
                <w:sz w:val="20"/>
                <w:szCs w:val="20"/>
              </w:rPr>
              <w:t xml:space="preserve">Żagań ul. </w:t>
            </w:r>
            <w:r w:rsidR="006A6FFA">
              <w:rPr>
                <w:rFonts w:ascii="Arial" w:hAnsi="Arial"/>
                <w:sz w:val="20"/>
                <w:szCs w:val="20"/>
              </w:rPr>
              <w:t>Dolna</w:t>
            </w:r>
          </w:p>
          <w:p w:rsidR="00B878C8" w:rsidRPr="006528AA" w:rsidRDefault="00B878C8" w:rsidP="0023463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528AA">
              <w:rPr>
                <w:rFonts w:ascii="Arial" w:hAnsi="Arial"/>
                <w:sz w:val="20"/>
                <w:szCs w:val="20"/>
              </w:rPr>
              <w:t xml:space="preserve">strefa </w:t>
            </w:r>
            <w:r w:rsidR="006A6FFA">
              <w:rPr>
                <w:rFonts w:ascii="Arial" w:hAnsi="Arial"/>
                <w:sz w:val="20"/>
                <w:szCs w:val="20"/>
              </w:rPr>
              <w:t>pod</w:t>
            </w:r>
            <w:r w:rsidR="00234634">
              <w:rPr>
                <w:rFonts w:ascii="Arial" w:hAnsi="Arial"/>
                <w:sz w:val="20"/>
                <w:szCs w:val="20"/>
              </w:rPr>
              <w:t>miejska</w:t>
            </w:r>
          </w:p>
        </w:tc>
        <w:tc>
          <w:tcPr>
            <w:tcW w:w="5102" w:type="dxa"/>
            <w:vMerge w:val="restart"/>
          </w:tcPr>
          <w:p w:rsidR="00B878C8" w:rsidRPr="006528AA" w:rsidRDefault="006528AA" w:rsidP="008B5AAD">
            <w:pPr>
              <w:pStyle w:val="Tekstpodstawowy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 xml:space="preserve">Niezabudowana nieruchomość gruntowa położona przy ul. </w:t>
            </w:r>
            <w:r w:rsidR="006A6FFA">
              <w:rPr>
                <w:rFonts w:ascii="Arial" w:hAnsi="Arial"/>
                <w:color w:val="000000"/>
                <w:sz w:val="20"/>
                <w:szCs w:val="20"/>
              </w:rPr>
              <w:t>Dolnej w Żaganiu w odległości 2 km od centrum Żagania. Dojazd dobry ulicą o nawierzchni utwardzonej – ul. Dolna, bezpośrednio do działki ok. 1</w:t>
            </w:r>
            <w:r w:rsidR="008B5AAD">
              <w:rPr>
                <w:rFonts w:ascii="Arial" w:hAnsi="Arial"/>
                <w:color w:val="000000"/>
                <w:sz w:val="20"/>
                <w:szCs w:val="20"/>
              </w:rPr>
              <w:t>2</w:t>
            </w:r>
            <w:r w:rsidR="006A6FFA">
              <w:rPr>
                <w:rFonts w:ascii="Arial" w:hAnsi="Arial"/>
                <w:color w:val="000000"/>
                <w:sz w:val="20"/>
                <w:szCs w:val="20"/>
              </w:rPr>
              <w:t>0 m drogą gruntową. Teren z dostępem do sieci energetycznej, wodnej, kanalizacyjnej, gazowej w ulicy Dolnej, dostępność do sieci jest korzystna. Bezpośrednie sąsiedztwo to zabudowa mieszkaniowa jednorodzinna oraz działki niezabudowane. Konfiguracja terenu pł</w:t>
            </w:r>
            <w:r w:rsidR="00C4005F">
              <w:rPr>
                <w:rFonts w:ascii="Arial" w:hAnsi="Arial"/>
                <w:color w:val="000000"/>
                <w:sz w:val="20"/>
                <w:szCs w:val="20"/>
              </w:rPr>
              <w:t>aska, działka nie ogrodzona</w:t>
            </w:r>
            <w:r w:rsidR="00153313">
              <w:rPr>
                <w:rFonts w:ascii="Arial" w:hAnsi="Arial"/>
                <w:color w:val="000000"/>
                <w:sz w:val="20"/>
                <w:szCs w:val="20"/>
              </w:rPr>
              <w:t xml:space="preserve">. Działka ma kształt regularny  </w:t>
            </w:r>
            <w:r w:rsidR="00C4005F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153313">
              <w:rPr>
                <w:rFonts w:ascii="Arial" w:hAnsi="Arial"/>
                <w:color w:val="000000"/>
                <w:sz w:val="20"/>
                <w:szCs w:val="20"/>
              </w:rPr>
              <w:t xml:space="preserve">prostokąt o </w:t>
            </w:r>
            <w:r w:rsidR="008B5AAD">
              <w:rPr>
                <w:rFonts w:ascii="Arial" w:hAnsi="Arial"/>
                <w:color w:val="000000"/>
                <w:sz w:val="20"/>
                <w:szCs w:val="20"/>
              </w:rPr>
              <w:t xml:space="preserve">dłuższym </w:t>
            </w:r>
            <w:r w:rsidR="00153313">
              <w:rPr>
                <w:rFonts w:ascii="Arial" w:hAnsi="Arial"/>
                <w:color w:val="000000"/>
                <w:sz w:val="20"/>
                <w:szCs w:val="20"/>
              </w:rPr>
              <w:t>boku przylegającym do ulicy</w:t>
            </w:r>
            <w:r w:rsidR="008B5AAD">
              <w:rPr>
                <w:rFonts w:ascii="Arial" w:hAnsi="Arial"/>
                <w:color w:val="000000"/>
                <w:sz w:val="20"/>
                <w:szCs w:val="20"/>
              </w:rPr>
              <w:t xml:space="preserve">. </w:t>
            </w:r>
            <w:r w:rsidR="00153313">
              <w:rPr>
                <w:rFonts w:ascii="Arial" w:hAnsi="Arial"/>
                <w:color w:val="000000"/>
                <w:sz w:val="20"/>
                <w:szCs w:val="20"/>
              </w:rPr>
              <w:t>Warunki geotechniczne dobre, nasłonecznienie duże.</w:t>
            </w:r>
            <w:r w:rsidR="008B5AAD">
              <w:rPr>
                <w:rFonts w:ascii="Arial" w:hAnsi="Arial"/>
                <w:color w:val="000000"/>
                <w:sz w:val="20"/>
                <w:szCs w:val="20"/>
              </w:rPr>
              <w:t xml:space="preserve"> Przez działkę od strony zachodniej przechodzi kryty rów  oraz napowietrzna </w:t>
            </w:r>
            <w:r w:rsidR="00A50AFC">
              <w:rPr>
                <w:rFonts w:ascii="Arial" w:hAnsi="Arial"/>
                <w:color w:val="000000"/>
                <w:sz w:val="20"/>
                <w:szCs w:val="20"/>
              </w:rPr>
              <w:t>linia energetyczna przy północnej granicy działki. Powierzchnia działki jest płaska, porośnięta chwastami. W niedalekiej odległości od działki jest skrzyżowanie dróg w kierunkach: Żagań – Zielona Góra. Lokalizacja dla funkcji mieszkalnej atrakcyjna.</w:t>
            </w:r>
          </w:p>
        </w:tc>
        <w:tc>
          <w:tcPr>
            <w:tcW w:w="3119" w:type="dxa"/>
          </w:tcPr>
          <w:p w:rsidR="00B878C8" w:rsidRPr="003B1F3A" w:rsidRDefault="00EF37ED" w:rsidP="00C4005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3B1F3A">
              <w:rPr>
                <w:rFonts w:ascii="Arial" w:hAnsi="Arial" w:cs="Arial"/>
                <w:sz w:val="22"/>
                <w:szCs w:val="22"/>
              </w:rPr>
              <w:t>Nieruchomość położona jest w obszarze obowiązywania miejscowego planu zagospodarowania przestrzennego terenu „Osiedla Łąkowa” w Żaganiu</w:t>
            </w:r>
            <w:r w:rsidR="003B1F3A">
              <w:rPr>
                <w:rFonts w:ascii="Arial" w:hAnsi="Arial" w:cs="Arial"/>
                <w:sz w:val="22"/>
                <w:szCs w:val="22"/>
              </w:rPr>
              <w:t xml:space="preserve"> przyjętego U</w:t>
            </w:r>
            <w:r w:rsidRPr="003B1F3A">
              <w:rPr>
                <w:rFonts w:ascii="Arial" w:hAnsi="Arial" w:cs="Arial"/>
                <w:sz w:val="22"/>
                <w:szCs w:val="22"/>
              </w:rPr>
              <w:t xml:space="preserve">chwałą nr XL/75/09 Rady Miasta Żagań z dnia 26 marca 2009 r. i oznaczona jest symbolem </w:t>
            </w:r>
            <w:r w:rsidR="00C4005F">
              <w:rPr>
                <w:rFonts w:ascii="Arial" w:hAnsi="Arial" w:cs="Arial"/>
                <w:sz w:val="22"/>
                <w:szCs w:val="22"/>
              </w:rPr>
              <w:t>5MN</w:t>
            </w:r>
            <w:r w:rsidRPr="003B1F3A">
              <w:rPr>
                <w:rFonts w:ascii="Arial" w:hAnsi="Arial" w:cs="Arial"/>
                <w:sz w:val="22"/>
                <w:szCs w:val="22"/>
              </w:rPr>
              <w:t xml:space="preserve">, dla którego ustala się przeznaczenie </w:t>
            </w:r>
            <w:r w:rsidR="003B1F3A" w:rsidRPr="003B1F3A">
              <w:rPr>
                <w:rFonts w:ascii="Arial" w:hAnsi="Arial" w:cs="Arial"/>
                <w:sz w:val="22"/>
                <w:szCs w:val="22"/>
              </w:rPr>
              <w:t xml:space="preserve">teren zabudowy </w:t>
            </w:r>
            <w:r w:rsidR="00C4005F">
              <w:rPr>
                <w:rFonts w:ascii="Arial" w:hAnsi="Arial" w:cs="Arial"/>
                <w:sz w:val="22"/>
                <w:szCs w:val="22"/>
              </w:rPr>
              <w:t>mieszkaniowej jednorodzinnej.</w:t>
            </w:r>
          </w:p>
        </w:tc>
        <w:tc>
          <w:tcPr>
            <w:tcW w:w="1843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878C8" w:rsidRPr="003E0602" w:rsidRDefault="008B5AAD" w:rsidP="000B088D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67.180</w:t>
            </w:r>
            <w:r w:rsidR="006A6FFA">
              <w:rPr>
                <w:rFonts w:ascii="Arial" w:hAnsi="Arial"/>
                <w:b/>
                <w:color w:val="000000"/>
                <w:sz w:val="22"/>
                <w:szCs w:val="22"/>
              </w:rPr>
              <w:t>,00</w:t>
            </w:r>
            <w:r w:rsidR="00B878C8" w:rsidRPr="003E060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zł</w:t>
            </w:r>
          </w:p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B878C8" w:rsidRPr="006528AA" w:rsidRDefault="00B878C8" w:rsidP="000B08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 w:cs="Arial"/>
                <w:color w:val="000000"/>
                <w:sz w:val="20"/>
                <w:szCs w:val="20"/>
              </w:rPr>
              <w:t>Wnioski można składać ciągu 6 tygodni licząc od dnia wywieszenia wykazu.</w:t>
            </w:r>
          </w:p>
          <w:p w:rsidR="00B878C8" w:rsidRPr="006528AA" w:rsidRDefault="00B878C8" w:rsidP="000B08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 w:cs="Arial"/>
                <w:color w:val="000000"/>
                <w:sz w:val="20"/>
                <w:szCs w:val="20"/>
              </w:rPr>
              <w:t>Wnioski mogą składać osoby którym przysługuje pierwszeństwo w nabyciu nieruchomości na podstawie art. 34 ust. 1 pkt 1 i pkt 2 ustawy</w:t>
            </w:r>
            <w:r w:rsidR="00951A01" w:rsidRPr="006528AA">
              <w:rPr>
                <w:rFonts w:ascii="Arial" w:hAnsi="Arial" w:cs="Arial"/>
                <w:color w:val="000000"/>
                <w:sz w:val="20"/>
                <w:szCs w:val="20"/>
              </w:rPr>
              <w:t xml:space="preserve"> o gospodarce nieruchomościami </w:t>
            </w:r>
          </w:p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</w:tcPr>
          <w:p w:rsidR="00B878C8" w:rsidRPr="006528AA" w:rsidRDefault="00B878C8" w:rsidP="000B088D">
            <w:pPr>
              <w:pStyle w:val="Tekstpodstawowy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B878C8" w:rsidRPr="006528AA" w:rsidRDefault="00B878C8" w:rsidP="000B088D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Należność</w:t>
            </w:r>
          </w:p>
          <w:p w:rsidR="00B878C8" w:rsidRPr="006528AA" w:rsidRDefault="00B878C8" w:rsidP="000B088D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za nieruchomość, ustaloną w przetargu nabywca zobowiązany jest wpłacić</w:t>
            </w:r>
          </w:p>
          <w:p w:rsidR="00B878C8" w:rsidRPr="006528AA" w:rsidRDefault="00B878C8" w:rsidP="000B088D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 xml:space="preserve">w całości </w:t>
            </w:r>
          </w:p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 xml:space="preserve">najpóźniej przed podpisaniem </w:t>
            </w:r>
          </w:p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umowy notarialnej.</w:t>
            </w:r>
          </w:p>
        </w:tc>
      </w:tr>
      <w:tr w:rsidR="00F57423" w:rsidTr="00951A01">
        <w:trPr>
          <w:cantSplit/>
          <w:trHeight w:val="470"/>
          <w:jc w:val="center"/>
        </w:trPr>
        <w:tc>
          <w:tcPr>
            <w:tcW w:w="1559" w:type="dxa"/>
          </w:tcPr>
          <w:p w:rsidR="00F57423" w:rsidRDefault="00F57423" w:rsidP="000B088D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F57423" w:rsidRDefault="00F57423" w:rsidP="006A6FF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KW </w:t>
            </w:r>
            <w:r w:rsidR="006A6FFA">
              <w:rPr>
                <w:rFonts w:ascii="Arial" w:hAnsi="Arial"/>
                <w:b/>
                <w:sz w:val="22"/>
              </w:rPr>
              <w:t>36759/4</w:t>
            </w:r>
          </w:p>
        </w:tc>
        <w:tc>
          <w:tcPr>
            <w:tcW w:w="5102" w:type="dxa"/>
            <w:vMerge/>
          </w:tcPr>
          <w:p w:rsidR="00F57423" w:rsidRDefault="00F57423" w:rsidP="000B088D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F57423" w:rsidRPr="006528AA" w:rsidRDefault="00F57423" w:rsidP="000B088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1843" w:type="dxa"/>
            <w:vMerge w:val="restart"/>
          </w:tcPr>
          <w:p w:rsidR="00F57423" w:rsidRPr="00F57423" w:rsidRDefault="00F57423" w:rsidP="00F574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423">
              <w:rPr>
                <w:rFonts w:ascii="Arial" w:hAnsi="Arial" w:cs="Arial"/>
                <w:color w:val="000000"/>
                <w:sz w:val="20"/>
                <w:szCs w:val="20"/>
              </w:rPr>
              <w:t>Do ceny ustalonej w przetargu dolicza się podatek VAT w wysokości 23 %.</w:t>
            </w:r>
          </w:p>
        </w:tc>
        <w:tc>
          <w:tcPr>
            <w:tcW w:w="2410" w:type="dxa"/>
            <w:vMerge/>
          </w:tcPr>
          <w:p w:rsidR="00F57423" w:rsidRDefault="00F57423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:rsidR="00F57423" w:rsidRDefault="00F57423" w:rsidP="000B088D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  <w:tr w:rsidR="00F57423" w:rsidTr="00153313">
        <w:trPr>
          <w:cantSplit/>
          <w:trHeight w:val="908"/>
          <w:jc w:val="center"/>
        </w:trPr>
        <w:tc>
          <w:tcPr>
            <w:tcW w:w="1559" w:type="dxa"/>
          </w:tcPr>
          <w:p w:rsidR="00F57423" w:rsidRDefault="00F57423" w:rsidP="000B088D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F57423" w:rsidRDefault="008B5AAD" w:rsidP="000B088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3955</w:t>
            </w:r>
          </w:p>
          <w:p w:rsidR="00F57423" w:rsidRDefault="008B5AAD" w:rsidP="00D92C9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937</w:t>
            </w:r>
            <w:r w:rsidR="00F57423">
              <w:rPr>
                <w:rFonts w:ascii="Arial" w:hAnsi="Arial"/>
                <w:b/>
                <w:sz w:val="22"/>
              </w:rPr>
              <w:t xml:space="preserve"> </w:t>
            </w:r>
            <w:r w:rsidR="00F57423">
              <w:rPr>
                <w:rFonts w:ascii="Arial" w:hAnsi="Arial"/>
                <w:b/>
                <w:color w:val="000000"/>
                <w:sz w:val="22"/>
              </w:rPr>
              <w:t>m</w:t>
            </w:r>
            <w:r w:rsidR="00F57423">
              <w:rPr>
                <w:rFonts w:ascii="Arial" w:hAnsi="Arial"/>
                <w:b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5102" w:type="dxa"/>
            <w:vMerge/>
          </w:tcPr>
          <w:p w:rsidR="00F57423" w:rsidRDefault="00F57423" w:rsidP="000B088D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F57423" w:rsidRPr="006528AA" w:rsidRDefault="00F57423" w:rsidP="000B088D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Przetarg ustny nieograniczony</w:t>
            </w:r>
          </w:p>
        </w:tc>
        <w:tc>
          <w:tcPr>
            <w:tcW w:w="1843" w:type="dxa"/>
            <w:vMerge/>
          </w:tcPr>
          <w:p w:rsidR="00F57423" w:rsidRDefault="00F57423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10" w:type="dxa"/>
            <w:vMerge/>
          </w:tcPr>
          <w:p w:rsidR="00F57423" w:rsidRDefault="00F57423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:rsidR="00F57423" w:rsidRDefault="00F57423" w:rsidP="000B088D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</w:tbl>
    <w:p w:rsidR="00B878C8" w:rsidRPr="00C52D90" w:rsidRDefault="00B878C8" w:rsidP="00B878C8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wywieszenia wykazu:.....................................</w:t>
      </w:r>
    </w:p>
    <w:p w:rsidR="00B878C8" w:rsidRDefault="00B878C8" w:rsidP="00B878C8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zdjęcia wykazu: ....................................</w:t>
      </w:r>
      <w:r>
        <w:rPr>
          <w:rFonts w:ascii="Arial" w:hAnsi="Arial"/>
          <w:sz w:val="16"/>
          <w:szCs w:val="16"/>
        </w:rPr>
        <w:t>.........</w:t>
      </w:r>
      <w:r w:rsidRPr="00C52D90">
        <w:rPr>
          <w:rFonts w:ascii="Arial" w:hAnsi="Arial"/>
          <w:sz w:val="16"/>
          <w:szCs w:val="16"/>
        </w:rPr>
        <w:t xml:space="preserve">         </w:t>
      </w:r>
      <w:bookmarkEnd w:id="0"/>
    </w:p>
    <w:sectPr w:rsidR="00B878C8" w:rsidSect="00B878C8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C8"/>
    <w:rsid w:val="00020B03"/>
    <w:rsid w:val="00153313"/>
    <w:rsid w:val="00234634"/>
    <w:rsid w:val="002378BF"/>
    <w:rsid w:val="003B1F3A"/>
    <w:rsid w:val="003E0602"/>
    <w:rsid w:val="003E5AE3"/>
    <w:rsid w:val="00450A9B"/>
    <w:rsid w:val="006528AA"/>
    <w:rsid w:val="006A6FFA"/>
    <w:rsid w:val="00756AD8"/>
    <w:rsid w:val="00806AEC"/>
    <w:rsid w:val="008B5AAD"/>
    <w:rsid w:val="00951A01"/>
    <w:rsid w:val="009740BF"/>
    <w:rsid w:val="00A37E0A"/>
    <w:rsid w:val="00A50AFC"/>
    <w:rsid w:val="00B878C8"/>
    <w:rsid w:val="00C4005F"/>
    <w:rsid w:val="00D92C95"/>
    <w:rsid w:val="00EF37ED"/>
    <w:rsid w:val="00F5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32CB5-D39C-4D0E-B8B6-8AEDEB0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8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3</cp:revision>
  <cp:lastPrinted>2018-03-22T10:51:00Z</cp:lastPrinted>
  <dcterms:created xsi:type="dcterms:W3CDTF">2018-03-22T11:14:00Z</dcterms:created>
  <dcterms:modified xsi:type="dcterms:W3CDTF">2018-03-27T08:40:00Z</dcterms:modified>
</cp:coreProperties>
</file>